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A464BD" w:rsidTr="007B647B">
        <w:trPr>
          <w:trHeight w:val="600"/>
          <w:jc w:val="center"/>
        </w:trPr>
        <w:tc>
          <w:tcPr>
            <w:tcW w:w="8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A464BD" w:rsidRPr="007B647B" w:rsidRDefault="006251B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lang w:val="en-CA"/>
              </w:rPr>
            </w:pP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关于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20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20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年夏季美国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  <w:lang w:val="en-CA"/>
              </w:rPr>
              <w:t>加州大学欧文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分校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  <w:lang w:val="en-CA"/>
              </w:rPr>
              <w:t>线上暑期科研课程</w:t>
            </w:r>
          </w:p>
          <w:p w:rsidR="00A464BD" w:rsidRDefault="006251B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报名</w:t>
            </w: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的通知</w:t>
            </w:r>
          </w:p>
        </w:tc>
      </w:tr>
    </w:tbl>
    <w:p w:rsidR="00A464BD" w:rsidRDefault="00A464B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1"/>
      </w:tblGrid>
      <w:tr w:rsidR="00A464BD" w:rsidTr="00D6618C">
        <w:trPr>
          <w:trHeight w:val="7050"/>
          <w:jc w:val="center"/>
        </w:trPr>
        <w:tc>
          <w:tcPr>
            <w:tcW w:w="7561" w:type="dxa"/>
            <w:shd w:val="clear" w:color="auto" w:fill="auto"/>
          </w:tcPr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我校与美国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加州大学欧文分校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友好协商，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由于原先的赴美学习项目受疫情影响难以实现，欧文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我校学生提供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线上暑期科研课程，让国际学生可以利用暑期时间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足不出户地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提前适应美国学习风格、浸入式地感受美国的文化和学术氛围。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现启动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申请工作。</w:t>
            </w:r>
          </w:p>
          <w:p w:rsidR="00A464BD" w:rsidRPr="007B647B" w:rsidRDefault="006251BB" w:rsidP="007B647B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一、欧文分校简介</w:t>
            </w:r>
            <w:bookmarkStart w:id="0" w:name="_GoBack"/>
            <w:bookmarkEnd w:id="0"/>
          </w:p>
          <w:p w:rsidR="00A464BD" w:rsidRDefault="006251BB" w:rsidP="007B647B">
            <w:pPr>
              <w:pStyle w:val="a8"/>
              <w:spacing w:line="40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加州大学欧文分校</w:t>
            </w: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简称</w:t>
            </w:r>
            <w:r>
              <w:rPr>
                <w:rFonts w:asciiTheme="minorEastAsia" w:hAnsiTheme="minorEastAsia"/>
                <w:sz w:val="24"/>
                <w:szCs w:val="24"/>
              </w:rPr>
              <w:t>UCI)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，创立于</w:t>
            </w:r>
            <w:r>
              <w:rPr>
                <w:rFonts w:asciiTheme="minorEastAsia" w:hAnsiTheme="minorEastAsia"/>
                <w:sz w:val="24"/>
                <w:szCs w:val="24"/>
              </w:rPr>
              <w:t>1965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年，位于南加州的橘子郡，是加州大学系统综合实力最为强劲的分校之一，它多年都位列于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世界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“百强大学”，是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世界顶尖研究型大学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，同时也是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“</w:t>
            </w:r>
            <w:hyperlink r:id="rId5" w:tgtFrame="_blank" w:history="1">
              <w:r>
                <w:rPr>
                  <w:rFonts w:asciiTheme="minorEastAsia" w:hAnsiTheme="minorEastAsia"/>
                  <w:sz w:val="24"/>
                  <w:szCs w:val="24"/>
                </w:rPr>
                <w:t>公立常春藤</w:t>
              </w:r>
            </w:hyperlink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盟校成员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USNEWS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综合排名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位，公立学校排名第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位。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UCI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科研实力非常卓越，曾在物理和化学领域获得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个诺贝尔奖，</w:t>
            </w:r>
            <w:r>
              <w:rPr>
                <w:rFonts w:asciiTheme="minorEastAsia" w:hAnsiTheme="minorEastAsia" w:cstheme="minorHAnsi"/>
                <w:sz w:val="24"/>
                <w:szCs w:val="24"/>
              </w:rPr>
              <w:t>化学、生物、物理、商科、工程、计算机、法律、经济和政治科学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是其强势专业，均在全美排名前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50</w:t>
            </w:r>
            <w:r>
              <w:rPr>
                <w:rFonts w:asciiTheme="minorEastAsia" w:hAnsiTheme="minorEastAsia" w:cstheme="minorHAnsi"/>
                <w:sz w:val="24"/>
                <w:szCs w:val="24"/>
              </w:rPr>
              <w:t>。</w:t>
            </w:r>
          </w:p>
          <w:p w:rsidR="007B647B" w:rsidRDefault="007B647B" w:rsidP="007B647B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464BD" w:rsidRPr="007B647B" w:rsidRDefault="006251BB" w:rsidP="007B647B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64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二、项目简介</w:t>
            </w:r>
          </w:p>
          <w:p w:rsidR="00A464BD" w:rsidRDefault="006251BB" w:rsidP="007B647B">
            <w:pPr>
              <w:spacing w:line="400" w:lineRule="exact"/>
              <w:ind w:firstLineChars="150" w:firstLine="36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UCI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在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2020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年推出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Experience University Research, Summer Online Course (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线上暑期科研课程，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EUR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），让国际学生可以利用暑期时间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提前适应美国学习风格、浸入式地感受美国的文化和学术氛围。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EUR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是一个具有学术挑战性的美国大学科研体验课程，其教学宗旨是让国际学生能够充分利用这所美国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“前十”公立大学顶尖的师资优势和教学资源，通过本课程可获得前瞻性的专业知识，了解专业发展方向，从而进一步拓展学术视野和职业规划水平。由于课程将会有美国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本土以及来自其它国家的学生参加，参加课程国际学生必须有一定的英语水平（建议托福成绩为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60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分以上），年龄要求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18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岁以上。完成课程后，学生将会获得加州欧文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分校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的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成绩单与官方课程证书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以及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正式学分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。（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具体学分转换请联络学生本校教务处具体落实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在课程结业后，学生最后有机会参与课程毕业设计。</w:t>
            </w:r>
          </w:p>
          <w:p w:rsidR="00A464BD" w:rsidRDefault="006251BB" w:rsidP="007B647B">
            <w:pPr>
              <w:spacing w:line="400" w:lineRule="exact"/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  <w:lang w:val="en-CA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CA"/>
              </w:rPr>
              <w:t>可选主题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CA"/>
              </w:rPr>
              <w:t>：</w:t>
            </w:r>
          </w:p>
          <w:p w:rsidR="00A464BD" w:rsidRDefault="006251BB" w:rsidP="007B647B">
            <w:pPr>
              <w:pStyle w:val="a9"/>
              <w:spacing w:line="400" w:lineRule="exact"/>
              <w:textAlignment w:val="baseline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 xml:space="preserve">Business Project Management with Data Analytics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商业项目管理与数据</w:t>
            </w:r>
          </w:p>
          <w:p w:rsidR="00A464BD" w:rsidRDefault="006251BB" w:rsidP="007B647B">
            <w:pPr>
              <w:pStyle w:val="a9"/>
              <w:spacing w:line="400" w:lineRule="exact"/>
              <w:textAlignment w:val="baseline"/>
              <w:rPr>
                <w:rFonts w:ascii="楷体" w:eastAsia="楷体" w:hAnsi="楷体" w:cs="楷体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>JavaScript</w:t>
            </w: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>计算机语言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Intro to Machine Learning</w:t>
            </w:r>
            <w:r>
              <w:rPr>
                <w:rFonts w:ascii="楷体" w:eastAsia="楷体" w:hAnsi="楷体" w:cs="楷体" w:hint="eastAsia"/>
                <w:b/>
                <w:bCs/>
                <w:spacing w:val="1"/>
                <w:w w:val="105"/>
                <w:sz w:val="24"/>
                <w:szCs w:val="24"/>
              </w:rPr>
              <w:t>机器学习</w:t>
            </w:r>
          </w:p>
          <w:p w:rsidR="00A464BD" w:rsidRDefault="006251BB" w:rsidP="007B647B">
            <w:pPr>
              <w:pStyle w:val="a9"/>
              <w:spacing w:line="400" w:lineRule="exact"/>
              <w:textAlignment w:val="baseline"/>
              <w:rPr>
                <w:rFonts w:ascii="楷体" w:eastAsia="楷体" w:hAnsi="楷体" w:cs="楷体"/>
                <w:spacing w:val="1"/>
                <w:w w:val="105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lastRenderedPageBreak/>
              <w:t xml:space="preserve">Expressive Design with </w:t>
            </w:r>
            <w:proofErr w:type="spellStart"/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IoT</w:t>
            </w:r>
            <w:proofErr w:type="spellEnd"/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 xml:space="preserve"> Devices and Robots</w:t>
            </w: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物联网设备与机器人设计</w:t>
            </w:r>
          </w:p>
          <w:p w:rsidR="00A464BD" w:rsidRDefault="006251BB" w:rsidP="007B647B">
            <w:pPr>
              <w:pStyle w:val="a9"/>
              <w:spacing w:line="400" w:lineRule="exact"/>
              <w:textAlignment w:val="baseline"/>
              <w:rPr>
                <w:rFonts w:ascii="楷体" w:eastAsia="楷体" w:hAnsi="楷体" w:cs="楷体"/>
                <w:b/>
                <w:bCs/>
                <w:spacing w:val="-1"/>
                <w:w w:val="105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>Finance</w:t>
            </w: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>金融</w:t>
            </w:r>
          </w:p>
          <w:p w:rsidR="00A464BD" w:rsidRDefault="006251BB" w:rsidP="007B647B">
            <w:pPr>
              <w:pStyle w:val="a9"/>
              <w:spacing w:line="400" w:lineRule="exact"/>
              <w:textAlignment w:val="baseline"/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 xml:space="preserve">Environmental Policy &amp; Technology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  <w:szCs w:val="24"/>
              </w:rPr>
              <w:t>环境政策与技术</w:t>
            </w:r>
          </w:p>
          <w:p w:rsidR="00A464BD" w:rsidRDefault="006251BB" w:rsidP="007B647B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en-CA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2020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-8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 xml:space="preserve"> 21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日</w:t>
            </w:r>
          </w:p>
          <w:p w:rsidR="00A464BD" w:rsidRPr="007B647B" w:rsidRDefault="006251BB" w:rsidP="007B647B">
            <w:pPr>
              <w:spacing w:line="400" w:lineRule="exact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7B647B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具体项目优势、课程设计与时间安排详见附件</w:t>
            </w:r>
            <w:r w:rsidRPr="007B647B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</w:t>
            </w:r>
            <w:r w:rsidR="007B647B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。</w:t>
            </w:r>
          </w:p>
          <w:p w:rsidR="00A464BD" w:rsidRDefault="00A464BD" w:rsidP="007B647B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en-CA"/>
              </w:rPr>
            </w:pPr>
          </w:p>
          <w:p w:rsidR="00A464BD" w:rsidRDefault="006251BB" w:rsidP="007B647B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、申请资格与条件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申请人目前应为我校在读的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级优秀全日制本科学生。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．政治素质好，坚持四项基本原则，热爱社会主义祖国，无违法违纪记录。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学习成绩优异，具有较强的、扎实的专业理论基础和实践能力，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平均绩点达到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2.5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GPA 3.0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（满分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．英语水平证明（托福、雅思、大学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级或国内学校出具的官方信函）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5. 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身心健康，能圆满完成学习任务。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．已交足我校规定的各项费用，具有一定的经济能力。</w:t>
            </w:r>
          </w:p>
          <w:p w:rsidR="007B647B" w:rsidRDefault="007B647B" w:rsidP="007B647B">
            <w:pPr>
              <w:widowControl/>
              <w:spacing w:line="400" w:lineRule="exact"/>
              <w:ind w:firstLine="47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464BD" w:rsidRDefault="007B647B" w:rsidP="007B647B">
            <w:pPr>
              <w:widowControl/>
              <w:spacing w:line="400" w:lineRule="exac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  <w:r w:rsidR="006251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、选拔程序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．采取“个人申请、学院推荐、专家评审、择优录取”的方式进行选拔。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．申请人应向所在学院提交以下材料：</w:t>
            </w:r>
          </w:p>
          <w:p w:rsidR="00A464BD" w:rsidRDefault="006251BB" w:rsidP="007B647B">
            <w:pPr>
              <w:widowControl/>
              <w:spacing w:line="40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）《南京邮电大学本科生海外访学申请表》（附件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）；</w:t>
            </w:r>
          </w:p>
          <w:p w:rsidR="00A464BD" w:rsidRDefault="006251BB" w:rsidP="007B647B">
            <w:pPr>
              <w:widowControl/>
              <w:spacing w:line="40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）英语水平证明及复印件；</w:t>
            </w:r>
          </w:p>
          <w:p w:rsidR="00A464BD" w:rsidRDefault="006251BB" w:rsidP="007B647B">
            <w:pPr>
              <w:widowControl/>
              <w:spacing w:line="40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）学术科研能力证明材料及复印件（包括论文发表、参与竞赛、项目等）；</w:t>
            </w:r>
          </w:p>
          <w:p w:rsidR="00A464BD" w:rsidRDefault="006251BB" w:rsidP="007B647B">
            <w:pPr>
              <w:widowControl/>
              <w:spacing w:line="40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）获奖证书及复印件。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．申请人将申请材料交至各学院，学院根据申请资格与条件对申请人进行筛选、排序并填写《南京邮电大学本科生海外访学申请汇总表》（附件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），于</w:t>
            </w:r>
            <w:r w:rsidRPr="007B647B">
              <w:rPr>
                <w:rFonts w:ascii="Calibri" w:eastAsia="宋体" w:hAnsi="Calibri" w:cs="宋体" w:hint="eastAsia"/>
                <w:b/>
                <w:kern w:val="0"/>
                <w:sz w:val="24"/>
                <w:szCs w:val="24"/>
              </w:rPr>
              <w:t>6</w:t>
            </w:r>
            <w:r w:rsidRPr="007B64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7B64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11</w:t>
            </w:r>
            <w:r w:rsidRPr="007B64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前将候选人申请材料及汇总表交至教务处实践教学科，逾期不递交材料的学院作自动放弃处理。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．教务处会同相关部门，共同组织专家进行评审，确定我校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</w:t>
            </w:r>
            <w:r w:rsidR="00D661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美国加州大学欧文分校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学生名单，并进行公示。</w:t>
            </w:r>
          </w:p>
          <w:p w:rsidR="00A464BD" w:rsidRPr="00D6618C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61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5.</w:t>
            </w:r>
            <w:r w:rsidRPr="00D6618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加州大学欧文分校大学的申请材料要求详见附件</w:t>
            </w:r>
            <w:r w:rsidRPr="00D6618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 w:rsidR="00D6618C" w:rsidRPr="00D6618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  <w:p w:rsidR="00D6618C" w:rsidRDefault="00D6618C" w:rsidP="007B64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464BD" w:rsidRDefault="00D6618C" w:rsidP="00D6618C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</w:t>
            </w:r>
            <w:r w:rsidR="006251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、费用情况</w:t>
            </w:r>
          </w:p>
          <w:p w:rsidR="00A464BD" w:rsidRDefault="006251BB" w:rsidP="00D6618C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$200 </w:t>
            </w:r>
          </w:p>
          <w:p w:rsidR="00A464BD" w:rsidRDefault="006251BB" w:rsidP="00D6618C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课程费用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$550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根据课程方向可选，详见附件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A464BD" w:rsidRDefault="00A464BD" w:rsidP="007B64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464BD" w:rsidRDefault="00D6618C" w:rsidP="00D6618C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</w:t>
            </w:r>
            <w:r w:rsidR="006251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、其他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国际合作交流处：李老师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>
              <w:rPr>
                <w:rFonts w:ascii="Arial" w:eastAsia="宋体" w:hAnsi="Arial" w:cs="Arial"/>
                <w:color w:val="000000"/>
                <w:szCs w:val="21"/>
              </w:rPr>
              <w:t>83492393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教务处：于老师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85866258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A464BD" w:rsidRDefault="006251BB" w:rsidP="007B647B">
            <w:pPr>
              <w:widowControl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被录取学生需交纳材料，另行通知。</w:t>
            </w:r>
          </w:p>
          <w:p w:rsidR="00A464BD" w:rsidRDefault="00A464BD" w:rsidP="007B647B">
            <w:pPr>
              <w:widowControl/>
              <w:spacing w:line="400" w:lineRule="exac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64BD" w:rsidRDefault="006251BB" w:rsidP="00D6618C">
            <w:pPr>
              <w:widowControl/>
              <w:spacing w:line="400" w:lineRule="exact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A464BD" w:rsidRDefault="006251BB" w:rsidP="007B647B">
            <w:pPr>
              <w:widowControl/>
              <w:spacing w:line="400" w:lineRule="exac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D6618C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A464BD" w:rsidRDefault="00A464BD" w:rsidP="007B647B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464BD" w:rsidRDefault="00A464BD"/>
    <w:sectPr w:rsidR="00A464BD" w:rsidSect="007B6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4"/>
    <w:rsid w:val="00165A37"/>
    <w:rsid w:val="00221DC8"/>
    <w:rsid w:val="002A16D4"/>
    <w:rsid w:val="003E4453"/>
    <w:rsid w:val="0046038B"/>
    <w:rsid w:val="004673F5"/>
    <w:rsid w:val="004F0A47"/>
    <w:rsid w:val="0055065F"/>
    <w:rsid w:val="005A03FD"/>
    <w:rsid w:val="006251BB"/>
    <w:rsid w:val="006342EB"/>
    <w:rsid w:val="0072055E"/>
    <w:rsid w:val="00733C84"/>
    <w:rsid w:val="00777513"/>
    <w:rsid w:val="007B647B"/>
    <w:rsid w:val="009521AE"/>
    <w:rsid w:val="00961217"/>
    <w:rsid w:val="009D730F"/>
    <w:rsid w:val="00A464BD"/>
    <w:rsid w:val="00C20B19"/>
    <w:rsid w:val="00C4106D"/>
    <w:rsid w:val="00C77838"/>
    <w:rsid w:val="00D6618C"/>
    <w:rsid w:val="00D83179"/>
    <w:rsid w:val="00F77637"/>
    <w:rsid w:val="00FA4BEB"/>
    <w:rsid w:val="0B9E101F"/>
    <w:rsid w:val="2BB42A80"/>
    <w:rsid w:val="374937EF"/>
    <w:rsid w:val="3AE611D3"/>
    <w:rsid w:val="662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DF136-09C5-4990-8A86-D0C8324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style2">
    <w:name w:val="style2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纯文本 Char"/>
    <w:basedOn w:val="a0"/>
    <w:link w:val="a3"/>
    <w:uiPriority w:val="99"/>
    <w:rPr>
      <w:rFonts w:ascii="Calibri" w:eastAsia="宋体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AC%E7%AB%8B%E5%B8%B8%E6%98%A5%E8%97%A4/2522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7</cp:revision>
  <dcterms:created xsi:type="dcterms:W3CDTF">2019-04-02T01:58:00Z</dcterms:created>
  <dcterms:modified xsi:type="dcterms:W3CDTF">2020-05-22T00:06:00Z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