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E462E">
      <w:pPr>
        <w:jc w:val="center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关于2027寒假港澳名校访学项目报名通知</w:t>
      </w:r>
    </w:p>
    <w:p w14:paraId="544E6070">
      <w:pPr>
        <w:spacing w:after="0" w:line="400" w:lineRule="exact"/>
        <w:jc w:val="both"/>
        <w:rPr>
          <w:rFonts w:hint="eastAsia" w:ascii="宋体" w:hAnsi="宋体" w:eastAsia="宋体" w:cs="Calibri"/>
          <w:b/>
          <w:bCs/>
          <w:color w:val="0057B8"/>
          <w:sz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一 学校简介</w:t>
      </w:r>
    </w:p>
    <w:p w14:paraId="2FB4C5F1">
      <w:pPr>
        <w:pStyle w:val="3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香港大学</w:t>
      </w:r>
      <w:r>
        <w:rPr>
          <w:rFonts w:hint="eastAsia" w:ascii="宋体" w:hAnsi="宋体" w:eastAsia="宋体"/>
          <w:sz w:val="24"/>
        </w:rPr>
        <w:t>，简称港大（</w:t>
      </w:r>
      <w:r>
        <w:rPr>
          <w:rFonts w:ascii="宋体" w:hAnsi="宋体" w:eastAsia="宋体"/>
          <w:sz w:val="24"/>
        </w:rPr>
        <w:t>HKU</w:t>
      </w:r>
      <w:r>
        <w:rPr>
          <w:rFonts w:hint="eastAsia" w:ascii="宋体" w:hAnsi="宋体" w:eastAsia="宋体"/>
          <w:sz w:val="24"/>
        </w:rPr>
        <w:t>），是香港最早成立的高等教育机构。香港大学作为跨学术领域的综合大学，其以法律学、政治学、教育学、工程学、会计学、生命科学及医学见长。香港大学自创校以来一直为香港社会培养出各界的著名人士，排名在香港高等院校中长期名列前茅。</w:t>
      </w:r>
    </w:p>
    <w:p w14:paraId="244B8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ascii="宋体" w:hAnsi="宋体" w:eastAsia="宋体"/>
          <w:b/>
          <w:bCs/>
          <w:sz w:val="24"/>
        </w:rPr>
        <w:t>20</w:t>
      </w:r>
      <w:r>
        <w:rPr>
          <w:rFonts w:hint="eastAsia" w:ascii="宋体" w:hAnsi="宋体" w:eastAsia="宋体"/>
          <w:b/>
          <w:bCs/>
          <w:sz w:val="24"/>
        </w:rPr>
        <w:t>27年</w:t>
      </w:r>
      <w:r>
        <w:rPr>
          <w:rFonts w:ascii="宋体" w:hAnsi="宋体" w:eastAsia="宋体"/>
          <w:b/>
          <w:bCs/>
          <w:sz w:val="24"/>
        </w:rPr>
        <w:t>QS</w:t>
      </w:r>
      <w:r>
        <w:rPr>
          <w:rFonts w:hint="eastAsia" w:ascii="宋体" w:hAnsi="宋体" w:eastAsia="宋体"/>
          <w:b/>
          <w:bCs/>
          <w:sz w:val="24"/>
        </w:rPr>
        <w:t>世界排名：世界第11。</w:t>
      </w:r>
    </w:p>
    <w:p w14:paraId="048508F6">
      <w:pPr>
        <w:pStyle w:val="3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香港中文大学，</w:t>
      </w:r>
      <w:r>
        <w:rPr>
          <w:rFonts w:hint="eastAsia" w:ascii="宋体" w:hAnsi="宋体" w:eastAsia="宋体"/>
          <w:sz w:val="24"/>
        </w:rPr>
        <w:t>简称港中大(CUHK)，书院制大学建制，为世界大学联盟、环太平洋大学联盟、亚太国际教育协会、中国大学校长联谊会、京港大学联盟重要成员，亚洲首家 AACSB 认证成员，是一所以“中国研究"、“生物医学科学"、“信息科学”、“经济与金融”、“地球信息与地球科学”等为重点研究领域的公立研究型综合大学，并在这些领域堪称世界级学术重镇。</w:t>
      </w:r>
    </w:p>
    <w:p w14:paraId="7382F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2027年QS世界排名：世界第18。</w:t>
      </w:r>
    </w:p>
    <w:p w14:paraId="23E98931">
      <w:pPr>
        <w:pStyle w:val="3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香港理工大学</w:t>
      </w:r>
      <w:r>
        <w:rPr>
          <w:rFonts w:hint="eastAsia" w:ascii="宋体" w:hAnsi="宋体" w:eastAsia="宋体"/>
          <w:sz w:val="24"/>
        </w:rPr>
        <w:t>是一所既充满活力又拥有骄人历史的大学。理大毕业生的实用价值，更被雇主视为同侪之冠。大学在追求卓越学术水平的同时，会不断推陈出新，提供富有实用性的专业课程、培训、应用研究及专业顾问等服务，支持工商企业的长远发展。</w:t>
      </w:r>
    </w:p>
    <w:p w14:paraId="2409E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2026年QS世界排名：世界第50。</w:t>
      </w:r>
    </w:p>
    <w:p w14:paraId="562C38E8">
      <w:pPr>
        <w:pStyle w:val="3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澳门大学</w:t>
      </w:r>
      <w:r>
        <w:rPr>
          <w:rFonts w:ascii="宋体" w:hAnsi="宋体" w:eastAsia="宋体"/>
          <w:b/>
          <w:bCs/>
          <w:sz w:val="24"/>
        </w:rPr>
        <w:t xml:space="preserve">  (University of Macau)</w:t>
      </w:r>
    </w:p>
    <w:p w14:paraId="20AF137E"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360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sz w:val="24"/>
        </w:rPr>
        <w:t>澳门大学，简称澳大（</w:t>
      </w:r>
      <w:r>
        <w:rPr>
          <w:rFonts w:ascii="宋体" w:hAnsi="宋体" w:eastAsia="宋体"/>
          <w:sz w:val="24"/>
        </w:rPr>
        <w:t>UM</w:t>
      </w:r>
      <w:r>
        <w:rPr>
          <w:rFonts w:hint="eastAsia" w:ascii="宋体" w:hAnsi="宋体" w:eastAsia="宋体"/>
          <w:sz w:val="24"/>
        </w:rPr>
        <w:t>），于</w:t>
      </w:r>
      <w:r>
        <w:rPr>
          <w:rFonts w:ascii="宋体" w:hAnsi="宋体" w:eastAsia="宋体"/>
          <w:sz w:val="24"/>
        </w:rPr>
        <w:t>1981</w:t>
      </w:r>
      <w:r>
        <w:rPr>
          <w:rFonts w:hint="eastAsia" w:ascii="宋体" w:hAnsi="宋体" w:eastAsia="宋体"/>
          <w:sz w:val="24"/>
        </w:rPr>
        <w:t>年成立，前身为私立东亚大学。经过近</w:t>
      </w:r>
      <w:r>
        <w:rPr>
          <w:rFonts w:ascii="宋体" w:hAnsi="宋体" w:eastAsia="宋体"/>
          <w:sz w:val="24"/>
        </w:rPr>
        <w:t>40</w:t>
      </w:r>
      <w:r>
        <w:rPr>
          <w:rFonts w:hint="eastAsia" w:ascii="宋体" w:hAnsi="宋体" w:eastAsia="宋体"/>
          <w:sz w:val="24"/>
        </w:rPr>
        <w:t>年的发展，澳门大学在教学、研究和社群服务领域均取得卓越的贡献，并已发展成为澳门本地区最优秀的国际化、唯一一所综合性公立大学，亦是全面引入住宿式书院系统的大学。并且澳门大学还是“一带一路”国际科学组织联盟创始成员。</w:t>
      </w:r>
    </w:p>
    <w:p w14:paraId="7AE5F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241" w:firstLineChars="100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ascii="宋体" w:hAnsi="宋体" w:eastAsia="宋体"/>
          <w:b/>
          <w:bCs/>
          <w:sz w:val="24"/>
        </w:rPr>
        <w:t>20</w:t>
      </w:r>
      <w:r>
        <w:rPr>
          <w:rFonts w:hint="eastAsia" w:ascii="宋体" w:hAnsi="宋体" w:eastAsia="宋体"/>
          <w:b/>
          <w:bCs/>
          <w:sz w:val="24"/>
        </w:rPr>
        <w:t>26年</w:t>
      </w:r>
      <w:r>
        <w:rPr>
          <w:rFonts w:ascii="宋体" w:hAnsi="宋体" w:eastAsia="宋体"/>
          <w:b/>
          <w:bCs/>
          <w:sz w:val="24"/>
        </w:rPr>
        <w:t>QS</w:t>
      </w:r>
      <w:r>
        <w:rPr>
          <w:rFonts w:hint="eastAsia" w:ascii="宋体" w:hAnsi="宋体" w:eastAsia="宋体"/>
          <w:b/>
          <w:bCs/>
          <w:sz w:val="24"/>
        </w:rPr>
        <w:t>世界排名：世界第</w:t>
      </w:r>
      <w:r>
        <w:rPr>
          <w:rFonts w:ascii="宋体" w:hAnsi="宋体" w:eastAsia="宋体"/>
          <w:b/>
          <w:bCs/>
          <w:sz w:val="24"/>
        </w:rPr>
        <w:t>2</w:t>
      </w:r>
      <w:r>
        <w:rPr>
          <w:rFonts w:hint="eastAsia" w:ascii="宋体" w:hAnsi="宋体" w:eastAsia="宋体"/>
          <w:b/>
          <w:bCs/>
          <w:sz w:val="24"/>
        </w:rPr>
        <w:t>67。</w:t>
      </w:r>
    </w:p>
    <w:p w14:paraId="2FCC3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240" w:firstLineChars="100"/>
        <w:textAlignment w:val="auto"/>
        <w:rPr>
          <w:rFonts w:hint="eastAsia" w:ascii="宋体" w:hAnsi="宋体" w:eastAsia="宋体"/>
          <w:b/>
          <w:bCs/>
          <w:sz w:val="24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二 项目简介</w:t>
      </w:r>
    </w:p>
    <w:p w14:paraId="20092B97">
      <w:pPr>
        <w:spacing w:line="400" w:lineRule="exact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为了让大学生有机会在世界一流的名校访学，体验大湾区的文化与经济发展，港澳地区全球知名学府特举办访学项目。学员将在各学校进行模块的课堂学习，届时由大学的教授或讲师为我们讲授精选课程，课程将采用案例式全英文教学；在课余时间，项目还安排了名校和政府企业的参访活动，带领学员在访学期间，深入体验香港/澳门的城市文化魅力和学术底蕴。</w:t>
      </w:r>
    </w:p>
    <w:tbl>
      <w:tblPr>
        <w:tblStyle w:val="17"/>
        <w:tblpPr w:leftFromText="180" w:rightFromText="180" w:vertAnchor="text" w:horzAnchor="margin" w:tblpXSpec="center" w:tblpY="88"/>
        <w:tblW w:w="52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3112"/>
        <w:gridCol w:w="2265"/>
        <w:gridCol w:w="1530"/>
      </w:tblGrid>
      <w:tr w14:paraId="0E4C1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050" w:type="pct"/>
            <w:shd w:val="clear" w:color="auto" w:fill="E8E8E8" w:themeFill="background2"/>
            <w:vAlign w:val="center"/>
          </w:tcPr>
          <w:p w14:paraId="46EED74E">
            <w:pPr>
              <w:spacing w:after="0" w:line="400" w:lineRule="exact"/>
              <w:jc w:val="center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主办学校</w:t>
            </w:r>
          </w:p>
        </w:tc>
        <w:tc>
          <w:tcPr>
            <w:tcW w:w="1779" w:type="pct"/>
            <w:shd w:val="clear" w:color="auto" w:fill="E8E8E8" w:themeFill="background2"/>
            <w:vAlign w:val="center"/>
          </w:tcPr>
          <w:p w14:paraId="53C6A9F8">
            <w:pPr>
              <w:spacing w:after="0" w:line="400" w:lineRule="exact"/>
              <w:jc w:val="center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课程主题</w:t>
            </w:r>
          </w:p>
        </w:tc>
        <w:tc>
          <w:tcPr>
            <w:tcW w:w="1295" w:type="pct"/>
            <w:shd w:val="clear" w:color="auto" w:fill="E8E8E8" w:themeFill="background2"/>
            <w:vAlign w:val="center"/>
          </w:tcPr>
          <w:p w14:paraId="3D44AA75">
            <w:pPr>
              <w:spacing w:after="0" w:line="400" w:lineRule="exact"/>
              <w:jc w:val="center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日期</w:t>
            </w:r>
          </w:p>
        </w:tc>
        <w:tc>
          <w:tcPr>
            <w:tcW w:w="874" w:type="pct"/>
            <w:shd w:val="clear" w:color="auto" w:fill="E8E8E8" w:themeFill="background2"/>
          </w:tcPr>
          <w:p w14:paraId="7C06229F">
            <w:pPr>
              <w:spacing w:after="0" w:line="400" w:lineRule="exact"/>
              <w:jc w:val="center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价格</w:t>
            </w:r>
          </w:p>
        </w:tc>
      </w:tr>
      <w:tr w14:paraId="52750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restart"/>
            <w:shd w:val="clear" w:color="auto" w:fill="F1CEEE" w:themeFill="accent5" w:themeFillTint="33"/>
            <w:vAlign w:val="center"/>
          </w:tcPr>
          <w:p w14:paraId="18B6A5AE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香港大学</w:t>
            </w:r>
          </w:p>
        </w:tc>
        <w:tc>
          <w:tcPr>
            <w:tcW w:w="1779" w:type="pct"/>
            <w:shd w:val="clear" w:color="auto" w:fill="CCE8CF" w:themeFill="background1"/>
          </w:tcPr>
          <w:p w14:paraId="31FEC387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国际经济与商业管理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185C6B49">
            <w:pPr>
              <w:widowControl/>
              <w:spacing w:after="0" w:line="400" w:lineRule="exact"/>
              <w:jc w:val="center"/>
              <w:textAlignment w:val="center"/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0" w:name="OLE_LINK23"/>
            <w:bookmarkStart w:id="1" w:name="OLE_LINK24"/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2027.01.17-01.23</w:t>
            </w:r>
            <w:bookmarkEnd w:id="0"/>
          </w:p>
          <w:p w14:paraId="30EE162D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</w:pPr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2027.02.13-02.19</w:t>
            </w:r>
          </w:p>
          <w:p w14:paraId="7ED1D212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</w:pP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2027.02.13-02.19</w:t>
            </w:r>
            <w:bookmarkEnd w:id="1"/>
          </w:p>
        </w:tc>
        <w:tc>
          <w:tcPr>
            <w:tcW w:w="874" w:type="pct"/>
            <w:vMerge w:val="restart"/>
            <w:shd w:val="clear" w:color="auto" w:fill="CCE8CF" w:themeFill="background1"/>
          </w:tcPr>
          <w:p w14:paraId="32AFE6FF">
            <w:pPr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11800元</w:t>
            </w:r>
          </w:p>
        </w:tc>
      </w:tr>
      <w:tr w14:paraId="42E74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2C2FCF69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</w:tcPr>
          <w:p w14:paraId="4134C8C2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人文与教育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15D92910">
            <w:pPr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2027.01.24-01.30</w:t>
            </w:r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470917EA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71E08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518A42A8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</w:tcPr>
          <w:p w14:paraId="402C0E48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人工智能与未来科技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657A7979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</w:pPr>
            <w:bookmarkStart w:id="2" w:name="OLE_LINK25"/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2027.01.24-01.30</w:t>
            </w:r>
            <w:bookmarkEnd w:id="2"/>
          </w:p>
          <w:p w14:paraId="752CC588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3" w:name="OLE_LINK32"/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2027.02.13-02.19</w:t>
            </w:r>
            <w:bookmarkEnd w:id="3"/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51A2E964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42B2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7DD8A000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7A7F2AB0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商业发展与人工智能应用</w:t>
            </w:r>
          </w:p>
        </w:tc>
        <w:tc>
          <w:tcPr>
            <w:tcW w:w="1295" w:type="pct"/>
            <w:vMerge w:val="restart"/>
            <w:shd w:val="clear" w:color="auto" w:fill="CCE8CF" w:themeFill="background1"/>
            <w:vAlign w:val="center"/>
          </w:tcPr>
          <w:p w14:paraId="7B95AA87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4" w:name="OLE_LINK27"/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2027.01.17-01.23</w:t>
            </w:r>
            <w:bookmarkEnd w:id="4"/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37BC0257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04857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0D05126A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16A01712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创意传媒</w:t>
            </w:r>
          </w:p>
        </w:tc>
        <w:tc>
          <w:tcPr>
            <w:tcW w:w="1295" w:type="pct"/>
            <w:vMerge w:val="continue"/>
            <w:shd w:val="clear" w:color="auto" w:fill="CCE8CF" w:themeFill="background1"/>
            <w:vAlign w:val="center"/>
          </w:tcPr>
          <w:p w14:paraId="16A1C79D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57737CBE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73DD3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132E6FB6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778059ED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法学与公共政策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1206DDE0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5" w:name="OLE_LINK26"/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2027.01.24-01.30</w:t>
            </w:r>
            <w:bookmarkEnd w:id="5"/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2C7A88C2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0905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restart"/>
            <w:shd w:val="clear" w:color="auto" w:fill="F1CEEE" w:themeFill="accent5" w:themeFillTint="33"/>
            <w:vAlign w:val="center"/>
          </w:tcPr>
          <w:p w14:paraId="06490D7D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香港中文大学</w:t>
            </w: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3B971EBF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AI驱动的商业转型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2F8350EA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6" w:name="OLE_LINK28"/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2027.01.24-01.30</w:t>
            </w:r>
            <w:bookmarkEnd w:id="6"/>
          </w:p>
        </w:tc>
        <w:tc>
          <w:tcPr>
            <w:tcW w:w="874" w:type="pct"/>
            <w:vMerge w:val="restart"/>
            <w:shd w:val="clear" w:color="auto" w:fill="CCE8CF" w:themeFill="background1"/>
          </w:tcPr>
          <w:p w14:paraId="5BC3FE71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11800元</w:t>
            </w:r>
          </w:p>
        </w:tc>
      </w:tr>
      <w:tr w14:paraId="7099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3067DEDA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1BDD2485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人文教育与社会科学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0DCEB532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7" w:name="OLE_LINK29"/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2027.01.17-01.23</w:t>
            </w:r>
            <w:bookmarkEnd w:id="7"/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4E09FF74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3F983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restart"/>
            <w:shd w:val="clear" w:color="auto" w:fill="F1CEEE" w:themeFill="accent5" w:themeFillTint="33"/>
            <w:vAlign w:val="center"/>
          </w:tcPr>
          <w:p w14:paraId="56016BAD">
            <w:pPr>
              <w:spacing w:after="0" w:line="400" w:lineRule="exact"/>
              <w:jc w:val="both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香港理工大学</w:t>
            </w: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0F8CAB03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人工智能与科技创新</w:t>
            </w:r>
          </w:p>
        </w:tc>
        <w:tc>
          <w:tcPr>
            <w:tcW w:w="1295" w:type="pct"/>
            <w:vMerge w:val="restart"/>
            <w:shd w:val="clear" w:color="auto" w:fill="CCE8CF" w:themeFill="background1"/>
            <w:vAlign w:val="center"/>
          </w:tcPr>
          <w:p w14:paraId="2289396E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8" w:name="OLE_LINK33"/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2027.01.24-01.30</w:t>
            </w:r>
            <w:bookmarkEnd w:id="8"/>
          </w:p>
        </w:tc>
        <w:tc>
          <w:tcPr>
            <w:tcW w:w="874" w:type="pct"/>
            <w:vMerge w:val="restart"/>
            <w:shd w:val="clear" w:color="auto" w:fill="CCE8CF" w:themeFill="background1"/>
          </w:tcPr>
          <w:p w14:paraId="056CF24D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9800元</w:t>
            </w:r>
          </w:p>
        </w:tc>
      </w:tr>
      <w:tr w14:paraId="46CE6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4E7CC08D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22F3BD76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电子与电气工程</w:t>
            </w:r>
          </w:p>
        </w:tc>
        <w:tc>
          <w:tcPr>
            <w:tcW w:w="1295" w:type="pct"/>
            <w:vMerge w:val="continue"/>
            <w:shd w:val="clear" w:color="auto" w:fill="CCE8CF" w:themeFill="background1"/>
            <w:vAlign w:val="center"/>
          </w:tcPr>
          <w:p w14:paraId="7BB82258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620A78F0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099A4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F1CEEE" w:themeFill="accent5" w:themeFillTint="33"/>
            <w:vAlign w:val="center"/>
          </w:tcPr>
          <w:p w14:paraId="4A024FF7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55C28AE0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领导力与创新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23568C8B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9" w:name="OLE_LINK31"/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2027.01.17-01.23</w:t>
            </w:r>
            <w:bookmarkEnd w:id="9"/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4A5A69D1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05A0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restart"/>
            <w:shd w:val="clear" w:color="auto" w:fill="DAE9F7" w:themeFill="text2" w:themeFillTint="1A"/>
            <w:vAlign w:val="center"/>
          </w:tcPr>
          <w:p w14:paraId="0E84BB8E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  <w:t>澳门大学</w:t>
            </w: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151BEBCA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人工智能与大数据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48F87600">
            <w:pPr>
              <w:widowControl/>
              <w:spacing w:after="0" w:line="400" w:lineRule="exact"/>
              <w:jc w:val="center"/>
              <w:textAlignment w:val="center"/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2027.01.17-01.2</w:t>
            </w: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</w:t>
            </w:r>
          </w:p>
          <w:p w14:paraId="6B315682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standardContextual"/>
              </w:rPr>
              <w:t>2027.02.14-02.18</w:t>
            </w:r>
          </w:p>
        </w:tc>
        <w:tc>
          <w:tcPr>
            <w:tcW w:w="874" w:type="pct"/>
            <w:vMerge w:val="restart"/>
            <w:shd w:val="clear" w:color="auto" w:fill="CCE8CF" w:themeFill="background1"/>
          </w:tcPr>
          <w:p w14:paraId="5ED0A6EC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6800元</w:t>
            </w:r>
          </w:p>
        </w:tc>
      </w:tr>
      <w:tr w14:paraId="0C51F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DAE9F7" w:themeFill="text2" w:themeFillTint="1A"/>
            <w:vAlign w:val="center"/>
          </w:tcPr>
          <w:p w14:paraId="4A97F207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422CDC5F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先进复合材料前沿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4E0EFC95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bookmarkStart w:id="10" w:name="OLE_LINK34"/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2027.01.24-01.</w:t>
            </w: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28</w:t>
            </w:r>
            <w:bookmarkEnd w:id="10"/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2FFCB254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7E97A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DAE9F7" w:themeFill="text2" w:themeFillTint="1A"/>
            <w:vAlign w:val="center"/>
          </w:tcPr>
          <w:p w14:paraId="6A5C1AF1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6A8278BF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商务沟通与领导力</w:t>
            </w:r>
          </w:p>
        </w:tc>
        <w:tc>
          <w:tcPr>
            <w:tcW w:w="1295" w:type="pct"/>
            <w:vMerge w:val="restart"/>
            <w:shd w:val="clear" w:color="auto" w:fill="CCE8CF" w:themeFill="background1"/>
            <w:vAlign w:val="center"/>
          </w:tcPr>
          <w:p w14:paraId="2A5F387D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2027.01.24-01.</w:t>
            </w:r>
            <w:r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28</w:t>
            </w:r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2206EBFA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5336D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DAE9F7" w:themeFill="text2" w:themeFillTint="1A"/>
            <w:vAlign w:val="center"/>
          </w:tcPr>
          <w:p w14:paraId="61AA195D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559BDEEC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  <w14:ligatures w14:val="none"/>
              </w:rPr>
              <w:t>未来教学创新与实践</w:t>
            </w:r>
          </w:p>
        </w:tc>
        <w:tc>
          <w:tcPr>
            <w:tcW w:w="1295" w:type="pct"/>
            <w:vMerge w:val="continue"/>
            <w:shd w:val="clear" w:color="auto" w:fill="CCE8CF" w:themeFill="background1"/>
            <w:vAlign w:val="center"/>
          </w:tcPr>
          <w:p w14:paraId="57C3F147">
            <w:pPr>
              <w:widowControl/>
              <w:spacing w:after="0" w:line="400" w:lineRule="exact"/>
              <w:jc w:val="center"/>
              <w:textAlignment w:val="center"/>
              <w:rPr>
                <w:rFonts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  <w:tc>
          <w:tcPr>
            <w:tcW w:w="874" w:type="pct"/>
            <w:vMerge w:val="continue"/>
            <w:shd w:val="clear" w:color="auto" w:fill="CCE8CF" w:themeFill="background1"/>
          </w:tcPr>
          <w:p w14:paraId="130C2011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4D7A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50" w:type="pct"/>
            <w:vMerge w:val="continue"/>
            <w:shd w:val="clear" w:color="auto" w:fill="DAE9F7" w:themeFill="text2" w:themeFillTint="1A"/>
            <w:vAlign w:val="center"/>
          </w:tcPr>
          <w:p w14:paraId="460F48C6">
            <w:pPr>
              <w:spacing w:after="0" w:line="400" w:lineRule="exact"/>
              <w:rPr>
                <w:rFonts w:hint="eastAsia" w:ascii="宋体" w:hAnsi="宋体" w:eastAsia="宋体" w:cstheme="major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9" w:type="pct"/>
            <w:shd w:val="clear" w:color="auto" w:fill="CCE8CF" w:themeFill="background1"/>
            <w:vAlign w:val="center"/>
          </w:tcPr>
          <w:p w14:paraId="068971A2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red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0"/>
                <w:szCs w:val="20"/>
                <w:highlight w:val="red"/>
                <w:lang w:val="en-US" w:eastAsia="zh-CN"/>
                <w14:ligatures w14:val="none"/>
              </w:rPr>
              <w:t>新工科</w:t>
            </w:r>
          </w:p>
        </w:tc>
        <w:tc>
          <w:tcPr>
            <w:tcW w:w="1295" w:type="pct"/>
            <w:shd w:val="clear" w:color="auto" w:fill="CCE8CF" w:themeFill="background1"/>
            <w:vAlign w:val="center"/>
          </w:tcPr>
          <w:p w14:paraId="55A4532D">
            <w:pPr>
              <w:widowControl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theme="majorEastAsia"/>
                <w:color w:val="auto"/>
                <w:kern w:val="0"/>
                <w:sz w:val="20"/>
                <w:szCs w:val="20"/>
                <w:highlight w:val="red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auto"/>
                <w:kern w:val="0"/>
                <w:sz w:val="20"/>
                <w:szCs w:val="20"/>
                <w:highlight w:val="red"/>
                <w:lang w:val="en-US" w:eastAsia="zh-CN" w:bidi="ar"/>
                <w14:ligatures w14:val="none"/>
              </w:rPr>
              <w:t>2027.01.19-01.24</w:t>
            </w:r>
          </w:p>
          <w:p w14:paraId="07C3D06C">
            <w:pPr>
              <w:widowControl/>
              <w:spacing w:after="0" w:line="400" w:lineRule="exact"/>
              <w:jc w:val="center"/>
              <w:textAlignment w:val="center"/>
              <w:rPr>
                <w:rFonts w:hint="default" w:ascii="宋体" w:hAnsi="宋体" w:eastAsia="宋体" w:cstheme="majorEastAsia"/>
                <w:color w:val="auto"/>
                <w:kern w:val="0"/>
                <w:sz w:val="20"/>
                <w:szCs w:val="20"/>
                <w:highlight w:val="red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auto"/>
                <w:kern w:val="0"/>
                <w:sz w:val="20"/>
                <w:szCs w:val="20"/>
                <w:highlight w:val="red"/>
                <w:lang w:val="en-US" w:eastAsia="zh-CN" w:bidi="ar"/>
                <w14:ligatures w14:val="none"/>
              </w:rPr>
              <w:t>2027.01.26-01.31</w:t>
            </w:r>
          </w:p>
        </w:tc>
        <w:tc>
          <w:tcPr>
            <w:tcW w:w="874" w:type="pct"/>
            <w:shd w:val="clear" w:color="auto" w:fill="CCE8CF" w:themeFill="background1"/>
          </w:tcPr>
          <w:p w14:paraId="6059596B">
            <w:pPr>
              <w:widowControl/>
              <w:spacing w:after="0" w:line="400" w:lineRule="exact"/>
              <w:jc w:val="center"/>
              <w:textAlignment w:val="center"/>
              <w:rPr>
                <w:rFonts w:hint="default" w:ascii="宋体" w:hAnsi="宋体" w:eastAsia="宋体" w:cstheme="majorEastAsia"/>
                <w:color w:val="auto"/>
                <w:kern w:val="0"/>
                <w:sz w:val="20"/>
                <w:szCs w:val="20"/>
                <w:highlight w:val="red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theme="majorEastAsia"/>
                <w:color w:val="auto"/>
                <w:kern w:val="0"/>
                <w:sz w:val="20"/>
                <w:szCs w:val="20"/>
                <w:highlight w:val="red"/>
                <w:lang w:val="en-US" w:eastAsia="zh-CN" w:bidi="ar"/>
                <w14:ligatures w14:val="none"/>
              </w:rPr>
              <w:t>5800元</w:t>
            </w:r>
          </w:p>
        </w:tc>
      </w:tr>
    </w:tbl>
    <w:p w14:paraId="1E7E9281">
      <w:pPr>
        <w:autoSpaceDE w:val="0"/>
        <w:autoSpaceDN w:val="0"/>
        <w:adjustRightInd w:val="0"/>
        <w:spacing w:after="0" w:line="400" w:lineRule="exact"/>
        <w:ind w:right="68"/>
        <w:jc w:val="both"/>
        <w:rPr>
          <w:rFonts w:hint="eastAsia" w:ascii="宋体" w:hAnsi="宋体" w:eastAsia="宋体" w:cs="Calibri"/>
          <w:sz w:val="24"/>
        </w:rPr>
      </w:pPr>
      <w:r>
        <w:rPr>
          <w:rFonts w:hint="eastAsia" w:ascii="宋体" w:hAnsi="宋体" w:eastAsia="宋体" w:cs="Calibri"/>
          <w:color w:val="156082" w:themeColor="accent1"/>
          <w:sz w:val="18"/>
          <w:szCs w:val="18"/>
          <w14:textFill>
            <w14:solidFill>
              <w14:schemeClr w14:val="accent1"/>
            </w14:solidFill>
          </w14:textFill>
        </w:rPr>
        <w:t>课程请查看附件项目简章；香港项目为7天6晚；澳门项目为5天4晚；</w:t>
      </w:r>
      <w:r>
        <w:rPr>
          <w:rFonts w:hint="eastAsia" w:ascii="宋体" w:hAnsi="宋体" w:eastAsia="宋体" w:cs="Calibri"/>
          <w:color w:val="156082" w:themeColor="accent1"/>
          <w:sz w:val="18"/>
          <w:szCs w:val="18"/>
          <w:highlight w:val="red"/>
          <w:lang w:val="en-US" w:eastAsia="zh-CN"/>
          <w14:textFill>
            <w14:solidFill>
              <w14:schemeClr w14:val="accent1"/>
            </w14:solidFill>
          </w14:textFill>
        </w:rPr>
        <w:t>澳门新工科项目为6天5晚；</w:t>
      </w:r>
      <w:r>
        <w:rPr>
          <w:rFonts w:hint="eastAsia" w:ascii="宋体" w:hAnsi="宋体" w:eastAsia="宋体" w:cs="Calibri"/>
          <w:color w:val="156082" w:themeColor="accent1"/>
          <w:sz w:val="18"/>
          <w:szCs w:val="18"/>
          <w14:textFill>
            <w14:solidFill>
              <w14:schemeClr w14:val="accent1"/>
            </w14:solidFill>
          </w14:textFill>
        </w:rPr>
        <w:t>价格含住宿、不含机票和餐费</w:t>
      </w:r>
    </w:p>
    <w:p w14:paraId="5142D9D3">
      <w:pPr>
        <w:autoSpaceDE w:val="0"/>
        <w:autoSpaceDN w:val="0"/>
        <w:adjustRightInd w:val="0"/>
        <w:spacing w:after="0" w:line="400" w:lineRule="exact"/>
        <w:ind w:right="68"/>
        <w:jc w:val="both"/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</w:pPr>
    </w:p>
    <w:p w14:paraId="4665236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right="68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三 项目收获</w:t>
      </w:r>
    </w:p>
    <w:p w14:paraId="302928B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项目结束后，</w:t>
      </w:r>
      <w:r>
        <w:rPr>
          <w:rFonts w:hint="eastAsia" w:ascii="宋体" w:hAnsi="宋体" w:eastAsia="宋体"/>
          <w:sz w:val="24"/>
        </w:rPr>
        <w:t>主办部门将为每位学员颁发项目</w:t>
      </w:r>
      <w:r>
        <w:rPr>
          <w:rFonts w:hint="eastAsia" w:ascii="宋体" w:hAnsi="宋体" w:eastAsia="宋体"/>
          <w:b/>
          <w:bCs/>
          <w:sz w:val="24"/>
        </w:rPr>
        <w:t>结业相关证书</w:t>
      </w:r>
      <w:r>
        <w:rPr>
          <w:rFonts w:hint="eastAsia" w:ascii="宋体" w:hAnsi="宋体" w:eastAsia="宋体"/>
          <w:sz w:val="24"/>
        </w:rPr>
        <w:t>和</w:t>
      </w:r>
      <w:r>
        <w:rPr>
          <w:rFonts w:hint="eastAsia" w:ascii="宋体" w:hAnsi="宋体" w:eastAsia="宋体"/>
          <w:b/>
          <w:bCs/>
          <w:sz w:val="24"/>
        </w:rPr>
        <w:t>证明信</w:t>
      </w:r>
      <w:r>
        <w:rPr>
          <w:rFonts w:hint="eastAsia" w:ascii="宋体" w:hAnsi="宋体" w:eastAsia="宋体"/>
          <w:sz w:val="24"/>
        </w:rPr>
        <w:t>，各课程具体收获，详见附件项目简章。</w:t>
      </w:r>
    </w:p>
    <w:p w14:paraId="7047B92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/>
          <w:sz w:val="24"/>
        </w:rPr>
      </w:pPr>
    </w:p>
    <w:p w14:paraId="08FAE9E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right="68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</w:pPr>
    </w:p>
    <w:p w14:paraId="7C8BFA1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right="68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四 项目特色</w:t>
      </w:r>
    </w:p>
    <w:p w14:paraId="50FDEB5E">
      <w:pPr>
        <w:pStyle w:val="34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深度体验港澳地区顶尖学术氛围，项目中官方精选课程，由相关领域享有崇高学术声誉的资深教授、高级讲师或者专业人士执教。</w:t>
      </w:r>
    </w:p>
    <w:p w14:paraId="0C19F84E">
      <w:pPr>
        <w:pStyle w:val="34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除官方课程之外，项目涵盖</w:t>
      </w:r>
      <w:r>
        <w:rPr>
          <w:rFonts w:hint="eastAsia" w:ascii="宋体" w:hAnsi="宋体" w:eastAsia="宋体"/>
          <w:b/>
          <w:bCs/>
          <w:sz w:val="24"/>
        </w:rPr>
        <w:t>名校文化和留学经验交流</w:t>
      </w:r>
      <w:r>
        <w:rPr>
          <w:rFonts w:hint="eastAsia" w:ascii="宋体" w:hAnsi="宋体" w:eastAsia="宋体"/>
          <w:sz w:val="24"/>
        </w:rPr>
        <w:t>、</w:t>
      </w:r>
      <w:r>
        <w:rPr>
          <w:rFonts w:hint="eastAsia" w:ascii="宋体" w:hAnsi="宋体" w:eastAsia="宋体"/>
          <w:b/>
          <w:bCs/>
          <w:sz w:val="24"/>
        </w:rPr>
        <w:t>知名企业和机构参访</w:t>
      </w:r>
      <w:r>
        <w:rPr>
          <w:rFonts w:hint="eastAsia" w:ascii="宋体" w:hAnsi="宋体" w:eastAsia="宋体"/>
          <w:sz w:val="24"/>
        </w:rPr>
        <w:t>、</w:t>
      </w:r>
      <w:r>
        <w:rPr>
          <w:rFonts w:hint="eastAsia" w:ascii="宋体" w:hAnsi="宋体" w:eastAsia="宋体"/>
          <w:b/>
          <w:bCs/>
          <w:sz w:val="24"/>
        </w:rPr>
        <w:t>城市人文体验、结业比赛</w:t>
      </w:r>
      <w:r>
        <w:rPr>
          <w:rFonts w:hint="eastAsia" w:ascii="宋体" w:hAnsi="宋体" w:eastAsia="宋体"/>
          <w:sz w:val="24"/>
        </w:rPr>
        <w:t>等内容，最大程度的让学员在短时间体验澳门大学的学术特色。</w:t>
      </w:r>
    </w:p>
    <w:p w14:paraId="2C9BC701">
      <w:pPr>
        <w:pStyle w:val="34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项目</w:t>
      </w:r>
      <w:r>
        <w:rPr>
          <w:rFonts w:hint="eastAsia" w:ascii="宋体" w:hAnsi="宋体" w:eastAsia="宋体"/>
          <w:b/>
          <w:bCs/>
          <w:sz w:val="24"/>
        </w:rPr>
        <w:t>运营历史悠久</w:t>
      </w:r>
      <w:r>
        <w:rPr>
          <w:rFonts w:hint="eastAsia" w:ascii="宋体" w:hAnsi="宋体" w:eastAsia="宋体"/>
          <w:sz w:val="24"/>
        </w:rPr>
        <w:t>，并通过丰富的文体活动，由经验丰富的老师们带领学</w:t>
      </w:r>
      <w:r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  <w14:ligatures w14:val="standardContextual"/>
        </w:rPr>
        <w:t>生开拓眼界、品味港澳的独特的城市魅力。</w:t>
      </w:r>
    </w:p>
    <w:p w14:paraId="31964880">
      <w:pPr>
        <w:pStyle w:val="34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snapToGrid/>
        <w:spacing w:line="400" w:lineRule="exact"/>
        <w:ind w:leftChars="0"/>
        <w:textAlignment w:val="auto"/>
        <w:rPr>
          <w:rFonts w:hint="eastAsia" w:ascii="宋体" w:hAnsi="宋体" w:eastAsia="宋体"/>
          <w:sz w:val="24"/>
        </w:rPr>
      </w:pPr>
    </w:p>
    <w:p w14:paraId="1A8C70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kern w:val="0"/>
          <w:sz w:val="24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五</w:t>
      </w:r>
      <w:r>
        <w:rPr>
          <w:rFonts w:hint="eastAsia" w:ascii="宋体" w:hAnsi="宋体" w:eastAsia="宋体" w:cs="宋体"/>
          <w:kern w:val="0"/>
          <w:sz w:val="24"/>
          <w14:ligatures w14:val="none"/>
        </w:rPr>
        <w:t xml:space="preserve"> </w:t>
      </w:r>
      <w:r>
        <w:rPr>
          <w:rFonts w:ascii="宋体" w:hAnsi="宋体" w:eastAsia="宋体" w:cs="宋体"/>
          <w:b/>
          <w:bCs/>
          <w:kern w:val="0"/>
          <w:sz w:val="24"/>
          <w14:ligatures w14:val="none"/>
        </w:rPr>
        <w:t>申请资格与条件</w:t>
      </w:r>
    </w:p>
    <w:p w14:paraId="4D176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1.申请人目前应为我校在读的本科学生，年级不限，专业不限。</w:t>
      </w:r>
    </w:p>
    <w:p w14:paraId="14E47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2.政治素质好，坚持四项基本原则，热爱社会主义祖国，无违法违纪记录。</w:t>
      </w:r>
    </w:p>
    <w:p w14:paraId="1D0D6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3.学习成绩优异，具有较强的、扎实的专业理论基础和实践能力。</w:t>
      </w:r>
    </w:p>
    <w:p w14:paraId="25878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4.具有较强的英语听说读写能力。</w:t>
      </w:r>
    </w:p>
    <w:p w14:paraId="5AD00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5.身心健康，能圆满完成出国访问与学习任务。</w:t>
      </w:r>
    </w:p>
    <w:p w14:paraId="1737F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6.已交足我校规定的各项费用，具有一定的经济能力。</w:t>
      </w:r>
    </w:p>
    <w:p w14:paraId="64EF9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六 选拔程序</w:t>
      </w:r>
    </w:p>
    <w:p w14:paraId="56133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1．采取“个人申请、学院推荐、专家评审、择优录取”的方式进行选拔。</w:t>
      </w:r>
    </w:p>
    <w:p w14:paraId="3A9EC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2．申请人应向所在学院提交以下材料：</w:t>
      </w:r>
    </w:p>
    <w:p w14:paraId="77DB8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（1）《南京邮电大学本科生海外访学申请表》；</w:t>
      </w:r>
    </w:p>
    <w:p w14:paraId="3C068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（2）英语水平证明及复印件（若有）；</w:t>
      </w:r>
    </w:p>
    <w:p w14:paraId="616EE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（3）学术科研能力证明材料及复印件（包括论文发表、参与竞赛、项目等）（若有）；</w:t>
      </w:r>
    </w:p>
    <w:p w14:paraId="76A4A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（4）获奖证书及复印件（若有）。</w:t>
      </w:r>
    </w:p>
    <w:p w14:paraId="26D4D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3．申请人申请材料交至各学院，学院根据申请资格与条件对申请人进行筛选、排序并填写《南京邮电大学本科生海外访学申请汇总表》，于</w:t>
      </w:r>
      <w:r>
        <w:rPr>
          <w:rFonts w:hint="eastAsia" w:ascii="宋体" w:hAnsi="宋体" w:eastAsia="宋体"/>
          <w:b/>
          <w:bCs/>
          <w:sz w:val="24"/>
          <w:highlight w:val="yellow"/>
        </w:rPr>
        <w:t>12月18日</w:t>
      </w:r>
      <w:r>
        <w:rPr>
          <w:rFonts w:hint="eastAsia" w:ascii="宋体" w:hAnsi="宋体" w:eastAsia="宋体"/>
          <w:sz w:val="24"/>
        </w:rPr>
        <w:t>前将候选人申请材料及汇总表交至</w:t>
      </w:r>
      <w:r>
        <w:rPr>
          <w:rFonts w:hint="eastAsia" w:ascii="宋体" w:hAnsi="宋体" w:eastAsia="宋体"/>
          <w:sz w:val="24"/>
          <w:lang w:val="en-US" w:eastAsia="zh-CN"/>
        </w:rPr>
        <w:t>本科生院</w:t>
      </w:r>
      <w:r>
        <w:rPr>
          <w:rFonts w:hint="eastAsia" w:ascii="宋体" w:hAnsi="宋体" w:eastAsia="宋体"/>
          <w:sz w:val="24"/>
        </w:rPr>
        <w:t>，逾期不递交材料的学院作自动放弃处理。</w:t>
      </w:r>
    </w:p>
    <w:p w14:paraId="4F146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4．</w:t>
      </w:r>
      <w:r>
        <w:rPr>
          <w:rFonts w:hint="eastAsia" w:ascii="宋体" w:hAnsi="宋体" w:eastAsia="宋体"/>
          <w:sz w:val="24"/>
          <w:lang w:val="en-US" w:eastAsia="zh-CN"/>
        </w:rPr>
        <w:t>本科生院</w:t>
      </w:r>
      <w:r>
        <w:rPr>
          <w:rFonts w:hint="eastAsia" w:ascii="宋体" w:hAnsi="宋体" w:eastAsia="宋体"/>
          <w:sz w:val="24"/>
        </w:rPr>
        <w:t>会同相关部门，共同组织专家进行评审，确定我校参加该项目的学生名单，并进行公示。</w:t>
      </w:r>
    </w:p>
    <w:p w14:paraId="60D4A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</w:p>
    <w:p w14:paraId="5BCA93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kern w:val="0"/>
          <w:sz w:val="24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七</w:t>
      </w:r>
      <w:r>
        <w:rPr>
          <w:rFonts w:hint="eastAsia" w:ascii="宋体" w:hAnsi="宋体" w:eastAsia="宋体" w:cs="宋体"/>
          <w:kern w:val="0"/>
          <w:sz w:val="24"/>
          <w14:ligatures w14:val="none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4"/>
          <w14:ligatures w14:val="none"/>
        </w:rPr>
        <w:t>联系方式</w:t>
      </w:r>
    </w:p>
    <w:p w14:paraId="05806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1.联系人</w:t>
      </w:r>
    </w:p>
    <w:p w14:paraId="2B237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国际处：</w:t>
      </w:r>
      <w:r>
        <w:rPr>
          <w:rFonts w:hint="eastAsia" w:ascii="宋体" w:hAnsi="宋体" w:eastAsia="宋体"/>
          <w:sz w:val="24"/>
          <w:lang w:val="en-US" w:eastAsia="zh-CN"/>
        </w:rPr>
        <w:t>朱</w:t>
      </w:r>
      <w:r>
        <w:rPr>
          <w:rFonts w:hint="eastAsia" w:ascii="宋体" w:hAnsi="宋体" w:eastAsia="宋体"/>
          <w:sz w:val="24"/>
        </w:rPr>
        <w:t>老师 025-83492393</w:t>
      </w:r>
    </w:p>
    <w:p w14:paraId="0AC29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  <w:lang w:val="en-US" w:eastAsia="zh-CN"/>
        </w:rPr>
        <w:t>本科生院</w:t>
      </w:r>
      <w:r>
        <w:rPr>
          <w:rFonts w:hint="eastAsia" w:ascii="宋体" w:hAnsi="宋体" w:eastAsia="宋体"/>
          <w:sz w:val="24"/>
        </w:rPr>
        <w:t>：于老师 025-85866258</w:t>
      </w:r>
    </w:p>
    <w:p w14:paraId="4EDFF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2.被录取学生需交纳材料，另行通知。</w:t>
      </w:r>
    </w:p>
    <w:p w14:paraId="43928AEC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/>
          <w:sz w:val="24"/>
        </w:rPr>
      </w:pPr>
    </w:p>
    <w:p w14:paraId="3CF5F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righ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国际合作交流处</w:t>
      </w:r>
    </w:p>
    <w:p w14:paraId="46F10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6960" w:firstLineChars="2900"/>
        <w:jc w:val="both"/>
        <w:textAlignment w:val="auto"/>
        <w:rPr>
          <w:rFonts w:hint="default" w:ascii="宋体" w:hAnsi="宋体" w:eastAsia="宋体"/>
          <w:sz w:val="24"/>
          <w:lang w:val="en-US" w:eastAsia="zh-CN"/>
        </w:rPr>
      </w:pPr>
      <w:bookmarkStart w:id="11" w:name="_GoBack"/>
      <w:bookmarkEnd w:id="11"/>
      <w:r>
        <w:rPr>
          <w:rFonts w:hint="eastAsia" w:ascii="宋体" w:hAnsi="宋体" w:eastAsia="宋体"/>
          <w:sz w:val="24"/>
          <w:lang w:val="en-US" w:eastAsia="zh-CN"/>
        </w:rPr>
        <w:t>本科生院</w:t>
      </w:r>
    </w:p>
    <w:p w14:paraId="246FC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right"/>
        <w:textAlignment w:val="auto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2026年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hint="eastAsia" w:ascii="宋体" w:hAnsi="宋体" w:eastAsia="宋体"/>
          <w:sz w:val="24"/>
        </w:rPr>
        <w:t>月</w:t>
      </w:r>
      <w:r>
        <w:rPr>
          <w:rFonts w:hint="eastAsia" w:ascii="宋体" w:hAnsi="宋体" w:eastAsia="宋体"/>
          <w:sz w:val="24"/>
          <w:lang w:val="en-US" w:eastAsia="zh-CN"/>
        </w:rPr>
        <w:t>9</w:t>
      </w:r>
      <w:r>
        <w:rPr>
          <w:rFonts w:hint="eastAsia" w:ascii="宋体" w:hAnsi="宋体" w:eastAsia="宋体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FD44F8"/>
    <w:multiLevelType w:val="multilevel"/>
    <w:tmpl w:val="66FD44F8"/>
    <w:lvl w:ilvl="0" w:tentative="0">
      <w:start w:val="2026"/>
      <w:numFmt w:val="bullet"/>
      <w:lvlText w:val="-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71384EF9"/>
    <w:multiLevelType w:val="multilevel"/>
    <w:tmpl w:val="71384EF9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21"/>
    <w:rsid w:val="0004643F"/>
    <w:rsid w:val="00062EF2"/>
    <w:rsid w:val="00081617"/>
    <w:rsid w:val="00090C76"/>
    <w:rsid w:val="000C1605"/>
    <w:rsid w:val="000C3458"/>
    <w:rsid w:val="00122024"/>
    <w:rsid w:val="001675A2"/>
    <w:rsid w:val="001A0421"/>
    <w:rsid w:val="001C54E3"/>
    <w:rsid w:val="001E4FFE"/>
    <w:rsid w:val="001F46FA"/>
    <w:rsid w:val="001F6537"/>
    <w:rsid w:val="00271CDB"/>
    <w:rsid w:val="00272CE7"/>
    <w:rsid w:val="002A6132"/>
    <w:rsid w:val="002A6852"/>
    <w:rsid w:val="002F527F"/>
    <w:rsid w:val="003045F0"/>
    <w:rsid w:val="00337836"/>
    <w:rsid w:val="00342EFA"/>
    <w:rsid w:val="004067AC"/>
    <w:rsid w:val="004536A5"/>
    <w:rsid w:val="004C2132"/>
    <w:rsid w:val="00505A85"/>
    <w:rsid w:val="0056154A"/>
    <w:rsid w:val="005B76D6"/>
    <w:rsid w:val="00662001"/>
    <w:rsid w:val="007024D1"/>
    <w:rsid w:val="007277F4"/>
    <w:rsid w:val="00734960"/>
    <w:rsid w:val="007D50F7"/>
    <w:rsid w:val="007F026C"/>
    <w:rsid w:val="00852C3A"/>
    <w:rsid w:val="0085412B"/>
    <w:rsid w:val="008A3846"/>
    <w:rsid w:val="008D3AA3"/>
    <w:rsid w:val="008D400F"/>
    <w:rsid w:val="009138FF"/>
    <w:rsid w:val="00931641"/>
    <w:rsid w:val="00966B3B"/>
    <w:rsid w:val="009847A9"/>
    <w:rsid w:val="0098698B"/>
    <w:rsid w:val="00995861"/>
    <w:rsid w:val="009A227E"/>
    <w:rsid w:val="009A4B04"/>
    <w:rsid w:val="009E6697"/>
    <w:rsid w:val="00A261B9"/>
    <w:rsid w:val="00AD01E3"/>
    <w:rsid w:val="00AF7B65"/>
    <w:rsid w:val="00B012DB"/>
    <w:rsid w:val="00B13247"/>
    <w:rsid w:val="00B15EB8"/>
    <w:rsid w:val="00B20E9A"/>
    <w:rsid w:val="00B52F12"/>
    <w:rsid w:val="00B76ABE"/>
    <w:rsid w:val="00B773CA"/>
    <w:rsid w:val="00B91FA7"/>
    <w:rsid w:val="00B950E8"/>
    <w:rsid w:val="00B964ED"/>
    <w:rsid w:val="00BA5499"/>
    <w:rsid w:val="00BB0EB0"/>
    <w:rsid w:val="00BE2476"/>
    <w:rsid w:val="00C15D7B"/>
    <w:rsid w:val="00C3229F"/>
    <w:rsid w:val="00C441AB"/>
    <w:rsid w:val="00C50667"/>
    <w:rsid w:val="00C72B58"/>
    <w:rsid w:val="00C920E8"/>
    <w:rsid w:val="00C95572"/>
    <w:rsid w:val="00C97753"/>
    <w:rsid w:val="00CA7F3E"/>
    <w:rsid w:val="00CD757E"/>
    <w:rsid w:val="00D14851"/>
    <w:rsid w:val="00D23AFF"/>
    <w:rsid w:val="00E5690A"/>
    <w:rsid w:val="00E8226B"/>
    <w:rsid w:val="00EA5BEA"/>
    <w:rsid w:val="00EE4F81"/>
    <w:rsid w:val="00F11191"/>
    <w:rsid w:val="00F44878"/>
    <w:rsid w:val="00F57BB4"/>
    <w:rsid w:val="00F86EB0"/>
    <w:rsid w:val="00FF620D"/>
    <w:rsid w:val="105125A3"/>
    <w:rsid w:val="154D102A"/>
    <w:rsid w:val="218A5999"/>
    <w:rsid w:val="3C0E030A"/>
    <w:rsid w:val="44CA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5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  <w:bCs/>
    </w:rPr>
  </w:style>
  <w:style w:type="character" w:styleId="20">
    <w:name w:val="Hyperlink"/>
    <w:basedOn w:val="18"/>
    <w:unhideWhenUsed/>
    <w:qFormat/>
    <w:uiPriority w:val="99"/>
    <w:rPr>
      <w:color w:val="0000FF"/>
      <w:u w:val="single"/>
    </w:rPr>
  </w:style>
  <w:style w:type="character" w:customStyle="1" w:styleId="21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列出段落"/>
    <w:basedOn w:val="1"/>
    <w:qFormat/>
    <w:uiPriority w:val="34"/>
    <w:pPr>
      <w:spacing w:after="0" w:line="240" w:lineRule="auto"/>
      <w:ind w:firstLine="420" w:firstLineChars="200"/>
      <w:jc w:val="both"/>
    </w:pPr>
    <w:rPr>
      <w:rFonts w:ascii="Calibri" w:hAnsi="Calibri" w:eastAsia="宋体" w:cs="Times New Roman"/>
      <w:sz w:val="21"/>
      <w:szCs w:val="22"/>
      <w14:ligatures w14:val="none"/>
    </w:rPr>
  </w:style>
  <w:style w:type="character" w:customStyle="1" w:styleId="40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41">
    <w:name w:val="页脚 字符"/>
    <w:basedOn w:val="18"/>
    <w:link w:val="11"/>
    <w:qFormat/>
    <w:uiPriority w:val="99"/>
    <w:rPr>
      <w:sz w:val="18"/>
      <w:szCs w:val="18"/>
    </w:rPr>
  </w:style>
  <w:style w:type="character" w:customStyle="1" w:styleId="42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1768</Words>
  <Characters>2148</Characters>
  <Lines>81</Lines>
  <Paragraphs>86</Paragraphs>
  <TotalTime>327</TotalTime>
  <ScaleCrop>false</ScaleCrop>
  <LinksUpToDate>false</LinksUpToDate>
  <CharactersWithSpaces>2163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2024-03-14T05:42:00Z</dcterms:created>
  <dc:creator>Petra Wang</dc:creator>
  <cp:lastModifiedBy>于华</cp:lastModifiedBy>
  <dcterms:modified xsi:type="dcterms:W3CDTF">2026-10-15T02:20:49Z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eyJoZGlkIjoiNzdjYzk2NWQ5Yjk3N2M3NmUwNTFlY2MxMTEwODE4M2UiLCJ1c2VySWQiOiIxNDc5NTE5NDcxIn0=</vt:lpwstr>
  </property>
  <property fmtid="{D5CDD505-2E9C-101B-9397-08002B2CF9AE}" pid="3" name="KSOProductBuildVer">
    <vt:lpwstr>2052-12.1.0.28505</vt:lpwstr>
  </property>
  <property fmtid="{D5CDD505-2E9C-101B-9397-08002B2CF9AE}" pid="4" name="ICV">
    <vt:lpwstr>45A1CF6C70D6469B89D00D2CB2BB8EBA_12</vt:lpwstr>
  </property>
</Properties>
</file>