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7623B">
      <w:pPr>
        <w:spacing w:after="0" w:line="400" w:lineRule="exact"/>
        <w:jc w:val="center"/>
        <w:rPr>
          <w:rFonts w:hint="eastAsia" w:ascii="宋体" w:hAnsi="宋体" w:eastAsia="宋体" w:cs="仿宋"/>
          <w:b/>
          <w:kern w:val="0"/>
          <w:sz w:val="32"/>
          <w:szCs w:val="32"/>
          <w14:ligatures w14:val="none"/>
        </w:rPr>
      </w:pPr>
      <w:r>
        <w:rPr>
          <w:rFonts w:hint="eastAsia" w:ascii="宋体" w:hAnsi="宋体" w:eastAsia="宋体" w:cs="仿宋"/>
          <w:b/>
          <w:kern w:val="0"/>
          <w:sz w:val="32"/>
          <w:szCs w:val="32"/>
          <w14:ligatures w14:val="none"/>
        </w:rPr>
        <w:t>关于2027年寒假澳大利亚墨尔本大学</w:t>
      </w:r>
      <w:r>
        <w:rPr>
          <w:rFonts w:ascii="宋体" w:hAnsi="宋体" w:eastAsia="宋体" w:cs="仿宋"/>
          <w:b/>
          <w:kern w:val="0"/>
          <w:sz w:val="32"/>
          <w:szCs w:val="32"/>
          <w14:ligatures w14:val="none"/>
        </w:rPr>
        <w:t>访学项目报名通知</w:t>
      </w:r>
    </w:p>
    <w:p w14:paraId="55D0F0DA">
      <w:pPr>
        <w:spacing w:after="0" w:line="500" w:lineRule="exact"/>
        <w:rPr>
          <w:rStyle w:val="9"/>
        </w:rPr>
      </w:pPr>
      <w:r>
        <w:rPr>
          <w:rStyle w:val="9"/>
        </w:rPr>
        <w:t>一、学校简介</w:t>
      </w:r>
    </w:p>
    <w:p w14:paraId="5D0C956E">
      <w:pPr>
        <w:spacing w:after="0" w:line="400" w:lineRule="exact"/>
        <w:jc w:val="both"/>
        <w:rPr>
          <w:rFonts w:hint="eastAsia" w:ascii="宋体" w:hAnsi="宋体" w:eastAsia="宋体" w:cs="Times New Roman"/>
          <w:color w:val="333333"/>
          <w:kern w:val="0"/>
          <w:sz w:val="24"/>
          <w14:ligatures w14:val="none"/>
        </w:rPr>
      </w:pPr>
      <w:r>
        <w:rPr>
          <w:rFonts w:hint="eastAsia" w:ascii="宋体" w:hAnsi="宋体" w:eastAsia="宋体" w:cs="Times New Roman"/>
          <w:color w:val="333333"/>
          <w:kern w:val="0"/>
          <w:sz w:val="24"/>
          <w14:ligatures w14:val="none"/>
        </w:rPr>
        <w:t>墨尔本大学简称“墨大”或“UniMelb”，始建于1853年，是</w:t>
      </w:r>
      <w:r>
        <w:rPr>
          <w:rFonts w:hint="eastAsia" w:ascii="宋体" w:hAnsi="宋体" w:eastAsia="宋体" w:cs="Times New Roman"/>
          <w:b/>
          <w:bCs/>
          <w:color w:val="333333"/>
          <w:kern w:val="0"/>
          <w:sz w:val="24"/>
          <w14:ligatures w14:val="none"/>
        </w:rPr>
        <w:t>澳大利亚历史最悠久的高等学府之一</w:t>
      </w:r>
      <w:r>
        <w:rPr>
          <w:rFonts w:hint="eastAsia" w:ascii="宋体" w:hAnsi="宋体" w:eastAsia="宋体" w:cs="Times New Roman"/>
          <w:color w:val="333333"/>
          <w:kern w:val="0"/>
          <w:sz w:val="24"/>
          <w14:ligatures w14:val="none"/>
        </w:rPr>
        <w:t>，也是</w:t>
      </w:r>
      <w:r>
        <w:rPr>
          <w:rFonts w:hint="eastAsia" w:ascii="宋体" w:hAnsi="宋体" w:eastAsia="宋体" w:cs="Times New Roman"/>
          <w:b/>
          <w:bCs/>
          <w:color w:val="333333"/>
          <w:kern w:val="0"/>
          <w:sz w:val="24"/>
          <w14:ligatures w14:val="none"/>
        </w:rPr>
        <w:t>全球享有盛誉的研究型综合性公立大学</w:t>
      </w:r>
      <w:r>
        <w:rPr>
          <w:rFonts w:hint="eastAsia" w:ascii="宋体" w:hAnsi="宋体" w:eastAsia="宋体" w:cs="Times New Roman"/>
          <w:color w:val="333333"/>
          <w:kern w:val="0"/>
          <w:sz w:val="24"/>
          <w14:ligatures w14:val="none"/>
        </w:rPr>
        <w:t>。作为澳大利亚八校联盟（Go8）创始成员之一，墨尔本大学同时隶属于环太平洋大学联盟、Universitas 21、国际铁路联盟及新工科教育国际联盟等多个国际高等教育组织。墨尔本大学在科研与教育方面均处于世界领先地位，其在医学、生命科学、人工智能、工程技术、法学、商科及艺术人文等领域表现卓越。</w:t>
      </w:r>
    </w:p>
    <w:p w14:paraId="77FD630D">
      <w:pPr>
        <w:spacing w:after="0" w:line="400" w:lineRule="exact"/>
        <w:jc w:val="both"/>
        <w:rPr>
          <w:rFonts w:hint="eastAsia" w:ascii="宋体" w:hAnsi="宋体" w:eastAsia="宋体" w:cs="Times New Roman"/>
          <w:b/>
          <w:bCs/>
          <w:color w:val="333333"/>
          <w:kern w:val="0"/>
          <w:sz w:val="24"/>
          <w14:ligatures w14:val="none"/>
        </w:rPr>
      </w:pPr>
      <w:r>
        <w:rPr>
          <w:rFonts w:hint="eastAsia" w:ascii="宋体" w:hAnsi="宋体" w:eastAsia="宋体" w:cs="Times New Roman"/>
          <w:b/>
          <w:bCs/>
          <w:color w:val="333333"/>
          <w:kern w:val="0"/>
          <w:sz w:val="24"/>
          <w14:ligatures w14:val="none"/>
        </w:rPr>
        <w:t>2027 QS世界大学排名位居第22位，澳洲第一。</w:t>
      </w:r>
    </w:p>
    <w:p w14:paraId="12D50E29">
      <w:pPr>
        <w:spacing w:after="0" w:line="400" w:lineRule="exact"/>
        <w:jc w:val="both"/>
        <w:rPr>
          <w:rFonts w:hint="eastAsia" w:ascii="宋体" w:hAnsi="宋体" w:eastAsia="宋体" w:cs="Times New Roman"/>
          <w:b/>
          <w:bCs/>
          <w:color w:val="333333"/>
          <w:kern w:val="0"/>
          <w:sz w:val="24"/>
          <w14:ligatures w14:val="none"/>
        </w:rPr>
      </w:pPr>
    </w:p>
    <w:p w14:paraId="4EE2A197">
      <w:pPr>
        <w:widowControl/>
        <w:spacing w:after="0" w:line="400" w:lineRule="exact"/>
        <w:rPr>
          <w:rFonts w:hint="eastAsia" w:ascii="宋体" w:hAnsi="宋体" w:eastAsia="宋体" w:cs="仿宋"/>
          <w:b/>
          <w:bCs/>
          <w:kern w:val="0"/>
          <w:sz w:val="24"/>
          <w14:ligatures w14:val="none"/>
        </w:rPr>
      </w:pPr>
      <w:r>
        <w:rPr>
          <w:rFonts w:ascii="宋体" w:hAnsi="宋体" w:eastAsia="宋体" w:cs="仿宋"/>
          <w:b/>
          <w:bCs/>
          <w:kern w:val="0"/>
          <w:sz w:val="24"/>
          <w14:ligatures w14:val="none"/>
        </w:rPr>
        <w:t>二、项目</w:t>
      </w:r>
      <w:r>
        <w:rPr>
          <w:rFonts w:hint="eastAsia" w:ascii="宋体" w:hAnsi="宋体" w:eastAsia="宋体" w:cs="仿宋"/>
          <w:b/>
          <w:bCs/>
          <w:kern w:val="0"/>
          <w:sz w:val="24"/>
          <w14:ligatures w14:val="none"/>
        </w:rPr>
        <w:t>简介</w:t>
      </w:r>
    </w:p>
    <w:tbl>
      <w:tblPr>
        <w:tblStyle w:val="7"/>
        <w:tblpPr w:leftFromText="180" w:rightFromText="180" w:vertAnchor="text" w:horzAnchor="margin" w:tblpXSpec="center" w:tblpY="88"/>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6"/>
        <w:gridCol w:w="3118"/>
        <w:gridCol w:w="2268"/>
        <w:gridCol w:w="1937"/>
      </w:tblGrid>
      <w:tr w14:paraId="55AA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76" w:type="pct"/>
            <w:shd w:val="clear" w:color="auto" w:fill="DAE3F4" w:themeFill="accent1" w:themeFillTint="33"/>
            <w:vAlign w:val="center"/>
          </w:tcPr>
          <w:p w14:paraId="675E0F98">
            <w:pPr>
              <w:spacing w:after="0" w:line="500" w:lineRule="exact"/>
              <w:jc w:val="center"/>
              <w:rPr>
                <w:rFonts w:hint="eastAsia" w:asciiTheme="majorEastAsia" w:hAnsiTheme="majorEastAsia" w:eastAsiaTheme="majorEastAsia" w:cstheme="majorEastAsia"/>
                <w:b/>
                <w:bCs/>
                <w:kern w:val="0"/>
                <w:szCs w:val="22"/>
                <w14:ligatures w14:val="none"/>
              </w:rPr>
            </w:pPr>
            <w:r>
              <w:rPr>
                <w:rFonts w:hint="eastAsia" w:asciiTheme="majorEastAsia" w:hAnsiTheme="majorEastAsia" w:eastAsiaTheme="majorEastAsia" w:cstheme="majorEastAsia"/>
                <w:b/>
                <w:bCs/>
                <w:kern w:val="0"/>
                <w:szCs w:val="22"/>
                <w14:ligatures w14:val="none"/>
              </w:rPr>
              <w:t>主办方</w:t>
            </w:r>
          </w:p>
        </w:tc>
        <w:tc>
          <w:tcPr>
            <w:tcW w:w="1756" w:type="pct"/>
            <w:shd w:val="clear" w:color="auto" w:fill="DAE3F4" w:themeFill="accent1" w:themeFillTint="33"/>
            <w:vAlign w:val="center"/>
          </w:tcPr>
          <w:p w14:paraId="1E893015">
            <w:pPr>
              <w:spacing w:after="0" w:line="500" w:lineRule="exact"/>
              <w:jc w:val="center"/>
              <w:rPr>
                <w:rFonts w:hint="eastAsia" w:asciiTheme="majorEastAsia" w:hAnsiTheme="majorEastAsia" w:eastAsiaTheme="majorEastAsia" w:cstheme="majorEastAsia"/>
                <w:b/>
                <w:bCs/>
                <w:kern w:val="0"/>
                <w:szCs w:val="22"/>
                <w14:ligatures w14:val="none"/>
              </w:rPr>
            </w:pPr>
            <w:r>
              <w:rPr>
                <w:rFonts w:hint="eastAsia" w:asciiTheme="majorEastAsia" w:hAnsiTheme="majorEastAsia" w:eastAsiaTheme="majorEastAsia" w:cstheme="majorEastAsia"/>
                <w:b/>
                <w:bCs/>
                <w:kern w:val="0"/>
                <w:szCs w:val="22"/>
                <w14:ligatures w14:val="none"/>
              </w:rPr>
              <w:t>课程主题</w:t>
            </w:r>
          </w:p>
        </w:tc>
        <w:tc>
          <w:tcPr>
            <w:tcW w:w="1277" w:type="pct"/>
            <w:shd w:val="clear" w:color="auto" w:fill="DAE3F4" w:themeFill="accent1" w:themeFillTint="33"/>
            <w:vAlign w:val="center"/>
          </w:tcPr>
          <w:p w14:paraId="146083BB">
            <w:pPr>
              <w:spacing w:after="0" w:line="500" w:lineRule="exact"/>
              <w:jc w:val="center"/>
              <w:rPr>
                <w:rFonts w:hint="eastAsia" w:asciiTheme="majorEastAsia" w:hAnsiTheme="majorEastAsia" w:eastAsiaTheme="majorEastAsia" w:cstheme="majorEastAsia"/>
                <w:b/>
                <w:bCs/>
                <w:kern w:val="0"/>
                <w:szCs w:val="22"/>
                <w14:ligatures w14:val="none"/>
              </w:rPr>
            </w:pPr>
            <w:r>
              <w:rPr>
                <w:rFonts w:hint="eastAsia" w:asciiTheme="majorEastAsia" w:hAnsiTheme="majorEastAsia" w:eastAsiaTheme="majorEastAsia" w:cstheme="majorEastAsia"/>
                <w:b/>
                <w:bCs/>
                <w:kern w:val="0"/>
                <w:szCs w:val="22"/>
                <w14:ligatures w14:val="none"/>
              </w:rPr>
              <w:t>日期</w:t>
            </w:r>
          </w:p>
        </w:tc>
        <w:tc>
          <w:tcPr>
            <w:tcW w:w="1091" w:type="pct"/>
            <w:shd w:val="clear" w:color="auto" w:fill="DAE3F4" w:themeFill="accent1" w:themeFillTint="33"/>
            <w:vAlign w:val="center"/>
          </w:tcPr>
          <w:p w14:paraId="261C6888">
            <w:pPr>
              <w:spacing w:after="0" w:line="500" w:lineRule="exact"/>
              <w:jc w:val="center"/>
              <w:rPr>
                <w:rFonts w:hint="eastAsia" w:asciiTheme="majorEastAsia" w:hAnsiTheme="majorEastAsia" w:eastAsiaTheme="majorEastAsia" w:cstheme="majorEastAsia"/>
                <w:b/>
                <w:bCs/>
                <w:kern w:val="0"/>
                <w:szCs w:val="22"/>
                <w14:ligatures w14:val="none"/>
              </w:rPr>
            </w:pPr>
            <w:r>
              <w:rPr>
                <w:rFonts w:hint="eastAsia" w:asciiTheme="majorEastAsia" w:hAnsiTheme="majorEastAsia" w:eastAsiaTheme="majorEastAsia" w:cstheme="majorEastAsia"/>
                <w:b/>
                <w:bCs/>
                <w:kern w:val="0"/>
                <w:szCs w:val="22"/>
                <w14:ligatures w14:val="none"/>
              </w:rPr>
              <w:t>费用/元</w:t>
            </w:r>
          </w:p>
        </w:tc>
      </w:tr>
      <w:tr w14:paraId="67D2C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6" w:type="pct"/>
            <w:vMerge w:val="restart"/>
            <w:shd w:val="clear" w:color="auto" w:fill="DAE3F4" w:themeFill="accent1" w:themeFillTint="33"/>
            <w:vAlign w:val="center"/>
          </w:tcPr>
          <w:p w14:paraId="039649E7">
            <w:pPr>
              <w:spacing w:after="0" w:line="500" w:lineRule="exact"/>
              <w:jc w:val="center"/>
              <w:rPr>
                <w:rFonts w:hint="eastAsia" w:asciiTheme="majorEastAsia" w:hAnsiTheme="majorEastAsia" w:eastAsiaTheme="majorEastAsia" w:cstheme="majorEastAsia"/>
                <w:b/>
                <w:bCs/>
                <w:kern w:val="0"/>
                <w:sz w:val="18"/>
                <w:szCs w:val="18"/>
                <w14:ligatures w14:val="none"/>
              </w:rPr>
            </w:pPr>
            <w:r>
              <w:rPr>
                <w:rFonts w:hint="eastAsia" w:asciiTheme="majorEastAsia" w:hAnsiTheme="majorEastAsia" w:eastAsiaTheme="majorEastAsia" w:cstheme="majorEastAsia"/>
                <w:b/>
                <w:bCs/>
                <w:kern w:val="0"/>
                <w:sz w:val="18"/>
                <w:szCs w:val="18"/>
                <w14:ligatures w14:val="none"/>
              </w:rPr>
              <w:t>墨尔本大学</w:t>
            </w:r>
          </w:p>
        </w:tc>
        <w:tc>
          <w:tcPr>
            <w:tcW w:w="1756" w:type="pct"/>
            <w:shd w:val="clear" w:color="auto" w:fill="CCE8CF" w:themeFill="background1"/>
          </w:tcPr>
          <w:p w14:paraId="379DE77A">
            <w:pPr>
              <w:widowControl/>
              <w:jc w:val="center"/>
              <w:textAlignment w:val="center"/>
              <w:rPr>
                <w:rFonts w:hint="eastAsia" w:asciiTheme="majorEastAsia" w:hAnsiTheme="majorEastAsia" w:eastAsiaTheme="majorEastAsia" w:cstheme="majorEastAsia"/>
                <w:kern w:val="0"/>
                <w:sz w:val="18"/>
                <w:szCs w:val="20"/>
                <w14:ligatures w14:val="none"/>
              </w:rPr>
            </w:pPr>
            <w:r>
              <w:rPr>
                <w:rFonts w:hint="eastAsia"/>
                <w:sz w:val="18"/>
                <w:szCs w:val="20"/>
              </w:rPr>
              <w:t>人工智能与数据科学</w:t>
            </w:r>
          </w:p>
        </w:tc>
        <w:tc>
          <w:tcPr>
            <w:tcW w:w="1277" w:type="pct"/>
            <w:shd w:val="clear" w:color="auto" w:fill="CCE8CF" w:themeFill="background1"/>
          </w:tcPr>
          <w:p w14:paraId="1CF7C1CE">
            <w:pPr>
              <w:widowControl/>
              <w:jc w:val="center"/>
              <w:textAlignment w:val="center"/>
              <w:rPr>
                <w:rFonts w:hint="eastAsia" w:asciiTheme="majorEastAsia" w:hAnsiTheme="majorEastAsia" w:eastAsiaTheme="majorEastAsia" w:cstheme="majorEastAsia"/>
                <w:kern w:val="0"/>
                <w:sz w:val="18"/>
                <w:szCs w:val="18"/>
                <w14:ligatures w14:val="none"/>
              </w:rPr>
            </w:pPr>
            <w:bookmarkStart w:id="0" w:name="OLE_LINK13"/>
            <w:r>
              <w:rPr>
                <w:sz w:val="18"/>
                <w:szCs w:val="18"/>
              </w:rPr>
              <w:t>20</w:t>
            </w:r>
            <w:r>
              <w:rPr>
                <w:rFonts w:hint="eastAsia"/>
                <w:sz w:val="18"/>
                <w:szCs w:val="18"/>
              </w:rPr>
              <w:t>27</w:t>
            </w:r>
            <w:r>
              <w:rPr>
                <w:sz w:val="18"/>
                <w:szCs w:val="18"/>
              </w:rPr>
              <w:t>.0</w:t>
            </w:r>
            <w:r>
              <w:rPr>
                <w:rFonts w:hint="eastAsia"/>
                <w:sz w:val="18"/>
                <w:szCs w:val="18"/>
              </w:rPr>
              <w:t>1</w:t>
            </w:r>
            <w:r>
              <w:rPr>
                <w:sz w:val="18"/>
                <w:szCs w:val="18"/>
              </w:rPr>
              <w:t>.</w:t>
            </w:r>
            <w:r>
              <w:rPr>
                <w:rFonts w:hint="eastAsia"/>
                <w:sz w:val="18"/>
                <w:szCs w:val="18"/>
              </w:rPr>
              <w:t>18</w:t>
            </w:r>
            <w:r>
              <w:rPr>
                <w:sz w:val="18"/>
                <w:szCs w:val="18"/>
              </w:rPr>
              <w:t>-0</w:t>
            </w:r>
            <w:r>
              <w:rPr>
                <w:rFonts w:hint="eastAsia"/>
                <w:sz w:val="18"/>
                <w:szCs w:val="18"/>
              </w:rPr>
              <w:t>1</w:t>
            </w:r>
            <w:r>
              <w:rPr>
                <w:sz w:val="18"/>
                <w:szCs w:val="18"/>
              </w:rPr>
              <w:t>.</w:t>
            </w:r>
            <w:r>
              <w:rPr>
                <w:rFonts w:hint="eastAsia"/>
                <w:sz w:val="18"/>
                <w:szCs w:val="18"/>
              </w:rPr>
              <w:t>26（9天）</w:t>
            </w:r>
            <w:bookmarkEnd w:id="0"/>
          </w:p>
        </w:tc>
        <w:tc>
          <w:tcPr>
            <w:tcW w:w="1091" w:type="pct"/>
            <w:vMerge w:val="restart"/>
            <w:shd w:val="clear" w:color="auto" w:fill="CCE8CF" w:themeFill="background1"/>
            <w:vAlign w:val="center"/>
          </w:tcPr>
          <w:p w14:paraId="5D0CB297">
            <w:pPr>
              <w:widowControl/>
              <w:jc w:val="center"/>
              <w:textAlignment w:val="center"/>
              <w:rPr>
                <w:rFonts w:hint="eastAsia" w:asciiTheme="majorEastAsia" w:hAnsiTheme="majorEastAsia" w:eastAsiaTheme="majorEastAsia" w:cstheme="majorEastAsia"/>
                <w:color w:val="000000"/>
                <w:kern w:val="0"/>
                <w:sz w:val="18"/>
                <w:szCs w:val="18"/>
                <w:lang w:bidi="ar"/>
              </w:rPr>
            </w:pPr>
            <w:r>
              <w:rPr>
                <w:rFonts w:hint="eastAsia" w:asciiTheme="majorEastAsia" w:hAnsiTheme="majorEastAsia" w:eastAsiaTheme="majorEastAsia" w:cstheme="majorEastAsia"/>
                <w:color w:val="000000"/>
                <w:kern w:val="0"/>
                <w:sz w:val="18"/>
                <w:szCs w:val="18"/>
                <w:lang w:bidi="ar"/>
              </w:rPr>
              <w:t>19800（含住宿；不含机票、餐费）</w:t>
            </w:r>
          </w:p>
        </w:tc>
      </w:tr>
      <w:tr w14:paraId="644A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76" w:type="pct"/>
            <w:vMerge w:val="continue"/>
            <w:shd w:val="clear" w:color="auto" w:fill="DAE3F4" w:themeFill="accent1" w:themeFillTint="33"/>
            <w:vAlign w:val="center"/>
          </w:tcPr>
          <w:p w14:paraId="685D6B5C">
            <w:pPr>
              <w:spacing w:after="0" w:line="500" w:lineRule="exact"/>
              <w:jc w:val="center"/>
              <w:rPr>
                <w:rFonts w:hint="eastAsia" w:asciiTheme="majorEastAsia" w:hAnsiTheme="majorEastAsia" w:eastAsiaTheme="majorEastAsia" w:cstheme="majorEastAsia"/>
                <w:b/>
                <w:bCs/>
                <w:kern w:val="0"/>
                <w:sz w:val="18"/>
                <w:szCs w:val="18"/>
                <w14:ligatures w14:val="none"/>
              </w:rPr>
            </w:pPr>
          </w:p>
        </w:tc>
        <w:tc>
          <w:tcPr>
            <w:tcW w:w="1756" w:type="pct"/>
            <w:shd w:val="clear" w:color="auto" w:fill="CCE8CF" w:themeFill="background1"/>
          </w:tcPr>
          <w:p w14:paraId="62EC8CD3">
            <w:pPr>
              <w:widowControl/>
              <w:jc w:val="center"/>
              <w:textAlignment w:val="center"/>
              <w:rPr>
                <w:rFonts w:hint="eastAsia" w:asciiTheme="majorEastAsia" w:hAnsiTheme="majorEastAsia" w:eastAsiaTheme="majorEastAsia" w:cstheme="majorEastAsia"/>
                <w:kern w:val="0"/>
                <w:sz w:val="18"/>
                <w:szCs w:val="20"/>
                <w14:ligatures w14:val="none"/>
              </w:rPr>
            </w:pPr>
            <w:r>
              <w:rPr>
                <w:rFonts w:hint="eastAsia"/>
                <w:sz w:val="18"/>
                <w:szCs w:val="20"/>
              </w:rPr>
              <w:t>全球商业与创新创业探索</w:t>
            </w:r>
          </w:p>
        </w:tc>
        <w:tc>
          <w:tcPr>
            <w:tcW w:w="1277" w:type="pct"/>
            <w:shd w:val="clear" w:color="auto" w:fill="CCE8CF" w:themeFill="background1"/>
          </w:tcPr>
          <w:p w14:paraId="5CD14B7F">
            <w:pPr>
              <w:widowControl/>
              <w:jc w:val="center"/>
              <w:textAlignment w:val="center"/>
              <w:rPr>
                <w:rFonts w:hint="eastAsia" w:asciiTheme="majorEastAsia" w:hAnsiTheme="majorEastAsia" w:eastAsiaTheme="majorEastAsia" w:cstheme="majorEastAsia"/>
                <w:kern w:val="0"/>
                <w:sz w:val="18"/>
                <w:szCs w:val="18"/>
                <w14:ligatures w14:val="none"/>
              </w:rPr>
            </w:pPr>
            <w:r>
              <w:rPr>
                <w:sz w:val="18"/>
                <w:szCs w:val="18"/>
              </w:rPr>
              <w:t>20</w:t>
            </w:r>
            <w:r>
              <w:rPr>
                <w:rFonts w:hint="eastAsia"/>
                <w:sz w:val="18"/>
                <w:szCs w:val="18"/>
              </w:rPr>
              <w:t>27</w:t>
            </w:r>
            <w:r>
              <w:rPr>
                <w:sz w:val="18"/>
                <w:szCs w:val="18"/>
              </w:rPr>
              <w:t>.0</w:t>
            </w:r>
            <w:r>
              <w:rPr>
                <w:rFonts w:hint="eastAsia"/>
                <w:sz w:val="18"/>
                <w:szCs w:val="18"/>
              </w:rPr>
              <w:t>1</w:t>
            </w:r>
            <w:r>
              <w:rPr>
                <w:sz w:val="18"/>
                <w:szCs w:val="18"/>
              </w:rPr>
              <w:t>.</w:t>
            </w:r>
            <w:r>
              <w:rPr>
                <w:rFonts w:hint="eastAsia"/>
                <w:sz w:val="18"/>
                <w:szCs w:val="18"/>
              </w:rPr>
              <w:t>24</w:t>
            </w:r>
            <w:r>
              <w:rPr>
                <w:sz w:val="18"/>
                <w:szCs w:val="18"/>
              </w:rPr>
              <w:t>-0</w:t>
            </w:r>
            <w:r>
              <w:rPr>
                <w:rFonts w:hint="eastAsia"/>
                <w:sz w:val="18"/>
                <w:szCs w:val="18"/>
              </w:rPr>
              <w:t>2</w:t>
            </w:r>
            <w:r>
              <w:rPr>
                <w:sz w:val="18"/>
                <w:szCs w:val="18"/>
              </w:rPr>
              <w:t>.</w:t>
            </w:r>
            <w:r>
              <w:rPr>
                <w:rFonts w:hint="eastAsia"/>
                <w:sz w:val="18"/>
                <w:szCs w:val="18"/>
              </w:rPr>
              <w:t>01（9天）</w:t>
            </w:r>
          </w:p>
        </w:tc>
        <w:tc>
          <w:tcPr>
            <w:tcW w:w="1091" w:type="pct"/>
            <w:vMerge w:val="continue"/>
            <w:shd w:val="clear" w:color="auto" w:fill="CCE8CF" w:themeFill="background1"/>
            <w:vAlign w:val="center"/>
          </w:tcPr>
          <w:p w14:paraId="4390F8BD">
            <w:pPr>
              <w:jc w:val="center"/>
              <w:textAlignment w:val="center"/>
              <w:rPr>
                <w:rFonts w:hint="eastAsia" w:asciiTheme="majorEastAsia" w:hAnsiTheme="majorEastAsia" w:eastAsiaTheme="majorEastAsia" w:cstheme="majorEastAsia"/>
                <w:color w:val="000000"/>
                <w:kern w:val="0"/>
                <w:sz w:val="18"/>
                <w:szCs w:val="18"/>
                <w:lang w:bidi="ar"/>
              </w:rPr>
            </w:pPr>
          </w:p>
        </w:tc>
      </w:tr>
      <w:tr w14:paraId="672F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76" w:type="pct"/>
            <w:vMerge w:val="continue"/>
            <w:shd w:val="clear" w:color="auto" w:fill="DAE3F4" w:themeFill="accent1" w:themeFillTint="33"/>
            <w:vAlign w:val="center"/>
          </w:tcPr>
          <w:p w14:paraId="339C74C1">
            <w:pPr>
              <w:spacing w:after="0" w:line="500" w:lineRule="exact"/>
              <w:jc w:val="center"/>
              <w:rPr>
                <w:rFonts w:hint="eastAsia" w:asciiTheme="majorEastAsia" w:hAnsiTheme="majorEastAsia" w:eastAsiaTheme="majorEastAsia" w:cstheme="majorEastAsia"/>
                <w:b/>
                <w:bCs/>
                <w:kern w:val="0"/>
                <w:sz w:val="18"/>
                <w:szCs w:val="18"/>
                <w14:ligatures w14:val="none"/>
              </w:rPr>
            </w:pPr>
          </w:p>
        </w:tc>
        <w:tc>
          <w:tcPr>
            <w:tcW w:w="1756" w:type="pct"/>
            <w:shd w:val="clear" w:color="auto" w:fill="CCE8CF" w:themeFill="background1"/>
          </w:tcPr>
          <w:p w14:paraId="1437D114">
            <w:pPr>
              <w:widowControl/>
              <w:jc w:val="center"/>
              <w:textAlignment w:val="center"/>
              <w:rPr>
                <w:rFonts w:hint="eastAsia" w:asciiTheme="majorEastAsia" w:hAnsiTheme="majorEastAsia" w:eastAsiaTheme="majorEastAsia" w:cstheme="majorEastAsia"/>
                <w:color w:val="000000"/>
                <w:kern w:val="0"/>
                <w:sz w:val="18"/>
                <w:szCs w:val="20"/>
                <w:lang w:bidi="ar"/>
              </w:rPr>
            </w:pPr>
            <w:r>
              <w:rPr>
                <w:rFonts w:hint="eastAsia"/>
                <w:sz w:val="18"/>
                <w:szCs w:val="20"/>
              </w:rPr>
              <w:t>教育与创新</w:t>
            </w:r>
          </w:p>
        </w:tc>
        <w:tc>
          <w:tcPr>
            <w:tcW w:w="1277" w:type="pct"/>
            <w:shd w:val="clear" w:color="auto" w:fill="CCE8CF" w:themeFill="background1"/>
          </w:tcPr>
          <w:p w14:paraId="3C5CB240">
            <w:pPr>
              <w:widowControl/>
              <w:jc w:val="center"/>
              <w:textAlignment w:val="center"/>
              <w:rPr>
                <w:rFonts w:hint="eastAsia" w:asciiTheme="majorEastAsia" w:hAnsiTheme="majorEastAsia" w:eastAsiaTheme="majorEastAsia" w:cstheme="majorEastAsia"/>
                <w:kern w:val="0"/>
                <w:sz w:val="18"/>
                <w:szCs w:val="18"/>
                <w14:ligatures w14:val="none"/>
              </w:rPr>
            </w:pPr>
            <w:r>
              <w:rPr>
                <w:sz w:val="18"/>
                <w:szCs w:val="18"/>
              </w:rPr>
              <w:t>20</w:t>
            </w:r>
            <w:r>
              <w:rPr>
                <w:rFonts w:hint="eastAsia"/>
                <w:sz w:val="18"/>
                <w:szCs w:val="18"/>
              </w:rPr>
              <w:t>27</w:t>
            </w:r>
            <w:r>
              <w:rPr>
                <w:sz w:val="18"/>
                <w:szCs w:val="18"/>
              </w:rPr>
              <w:t>.0</w:t>
            </w:r>
            <w:r>
              <w:rPr>
                <w:rFonts w:hint="eastAsia"/>
                <w:sz w:val="18"/>
                <w:szCs w:val="18"/>
              </w:rPr>
              <w:t>1</w:t>
            </w:r>
            <w:r>
              <w:rPr>
                <w:sz w:val="18"/>
                <w:szCs w:val="18"/>
              </w:rPr>
              <w:t>.</w:t>
            </w:r>
            <w:r>
              <w:rPr>
                <w:rFonts w:hint="eastAsia"/>
                <w:sz w:val="18"/>
                <w:szCs w:val="18"/>
              </w:rPr>
              <w:t>18</w:t>
            </w:r>
            <w:r>
              <w:rPr>
                <w:sz w:val="18"/>
                <w:szCs w:val="18"/>
              </w:rPr>
              <w:t>-0</w:t>
            </w:r>
            <w:r>
              <w:rPr>
                <w:rFonts w:hint="eastAsia"/>
                <w:sz w:val="18"/>
                <w:szCs w:val="18"/>
              </w:rPr>
              <w:t>1</w:t>
            </w:r>
            <w:r>
              <w:rPr>
                <w:sz w:val="18"/>
                <w:szCs w:val="18"/>
              </w:rPr>
              <w:t>.</w:t>
            </w:r>
            <w:r>
              <w:rPr>
                <w:rFonts w:hint="eastAsia"/>
                <w:sz w:val="18"/>
                <w:szCs w:val="18"/>
              </w:rPr>
              <w:t>26（9天）</w:t>
            </w:r>
          </w:p>
        </w:tc>
        <w:tc>
          <w:tcPr>
            <w:tcW w:w="1091" w:type="pct"/>
            <w:vMerge w:val="continue"/>
            <w:shd w:val="clear" w:color="auto" w:fill="CCE8CF" w:themeFill="background1"/>
            <w:vAlign w:val="center"/>
          </w:tcPr>
          <w:p w14:paraId="4B2F0DC0">
            <w:pPr>
              <w:jc w:val="center"/>
              <w:textAlignment w:val="center"/>
              <w:rPr>
                <w:rFonts w:hint="eastAsia" w:asciiTheme="majorEastAsia" w:hAnsiTheme="majorEastAsia" w:eastAsiaTheme="majorEastAsia" w:cstheme="majorEastAsia"/>
                <w:color w:val="000000"/>
                <w:kern w:val="0"/>
                <w:sz w:val="18"/>
                <w:szCs w:val="18"/>
                <w:lang w:bidi="ar"/>
              </w:rPr>
            </w:pPr>
          </w:p>
        </w:tc>
      </w:tr>
      <w:tr w14:paraId="6001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76" w:type="pct"/>
            <w:vMerge w:val="continue"/>
            <w:shd w:val="clear" w:color="auto" w:fill="DAE3F4" w:themeFill="accent1" w:themeFillTint="33"/>
            <w:vAlign w:val="center"/>
          </w:tcPr>
          <w:p w14:paraId="0C15D3EE">
            <w:pPr>
              <w:spacing w:after="0" w:line="500" w:lineRule="exact"/>
              <w:jc w:val="center"/>
              <w:rPr>
                <w:rFonts w:hint="eastAsia" w:asciiTheme="majorEastAsia" w:hAnsiTheme="majorEastAsia" w:eastAsiaTheme="majorEastAsia" w:cstheme="majorEastAsia"/>
                <w:b/>
                <w:bCs/>
                <w:kern w:val="0"/>
                <w:sz w:val="18"/>
                <w:szCs w:val="18"/>
                <w14:ligatures w14:val="none"/>
              </w:rPr>
            </w:pPr>
          </w:p>
        </w:tc>
        <w:tc>
          <w:tcPr>
            <w:tcW w:w="1756" w:type="pct"/>
            <w:shd w:val="clear" w:color="auto" w:fill="CCE8CF" w:themeFill="background1"/>
          </w:tcPr>
          <w:p w14:paraId="3C70022A">
            <w:pPr>
              <w:widowControl/>
              <w:jc w:val="center"/>
              <w:textAlignment w:val="center"/>
              <w:rPr>
                <w:rFonts w:hint="eastAsia" w:asciiTheme="majorEastAsia" w:hAnsiTheme="majorEastAsia" w:eastAsiaTheme="majorEastAsia" w:cstheme="majorEastAsia"/>
                <w:color w:val="000000"/>
                <w:kern w:val="0"/>
                <w:sz w:val="18"/>
                <w:szCs w:val="20"/>
                <w:lang w:bidi="ar"/>
              </w:rPr>
            </w:pPr>
            <w:r>
              <w:rPr>
                <w:rFonts w:hint="eastAsia"/>
                <w:sz w:val="18"/>
                <w:szCs w:val="20"/>
              </w:rPr>
              <w:t>澳大利亚医疗体系与健康政策</w:t>
            </w:r>
          </w:p>
        </w:tc>
        <w:tc>
          <w:tcPr>
            <w:tcW w:w="1277" w:type="pct"/>
            <w:shd w:val="clear" w:color="auto" w:fill="CCE8CF" w:themeFill="background1"/>
          </w:tcPr>
          <w:p w14:paraId="300FE1A5">
            <w:pPr>
              <w:widowControl/>
              <w:jc w:val="center"/>
              <w:textAlignment w:val="center"/>
              <w:rPr>
                <w:rFonts w:hint="eastAsia" w:asciiTheme="majorEastAsia" w:hAnsiTheme="majorEastAsia" w:eastAsiaTheme="majorEastAsia" w:cstheme="majorEastAsia"/>
                <w:kern w:val="0"/>
                <w:sz w:val="18"/>
                <w:szCs w:val="18"/>
                <w14:ligatures w14:val="none"/>
              </w:rPr>
            </w:pPr>
            <w:r>
              <w:rPr>
                <w:sz w:val="18"/>
                <w:szCs w:val="18"/>
              </w:rPr>
              <w:t>20</w:t>
            </w:r>
            <w:r>
              <w:rPr>
                <w:rFonts w:hint="eastAsia"/>
                <w:sz w:val="18"/>
                <w:szCs w:val="18"/>
              </w:rPr>
              <w:t>27</w:t>
            </w:r>
            <w:r>
              <w:rPr>
                <w:sz w:val="18"/>
                <w:szCs w:val="18"/>
              </w:rPr>
              <w:t>.0</w:t>
            </w:r>
            <w:r>
              <w:rPr>
                <w:rFonts w:hint="eastAsia"/>
                <w:sz w:val="18"/>
                <w:szCs w:val="18"/>
              </w:rPr>
              <w:t>1</w:t>
            </w:r>
            <w:r>
              <w:rPr>
                <w:sz w:val="18"/>
                <w:szCs w:val="18"/>
              </w:rPr>
              <w:t>.</w:t>
            </w:r>
            <w:r>
              <w:rPr>
                <w:rFonts w:hint="eastAsia"/>
                <w:sz w:val="18"/>
                <w:szCs w:val="18"/>
              </w:rPr>
              <w:t>24</w:t>
            </w:r>
            <w:r>
              <w:rPr>
                <w:sz w:val="18"/>
                <w:szCs w:val="18"/>
              </w:rPr>
              <w:t>-0</w:t>
            </w:r>
            <w:r>
              <w:rPr>
                <w:rFonts w:hint="eastAsia"/>
                <w:sz w:val="18"/>
                <w:szCs w:val="18"/>
              </w:rPr>
              <w:t>2</w:t>
            </w:r>
            <w:r>
              <w:rPr>
                <w:sz w:val="18"/>
                <w:szCs w:val="18"/>
              </w:rPr>
              <w:t>.</w:t>
            </w:r>
            <w:r>
              <w:rPr>
                <w:rFonts w:hint="eastAsia"/>
                <w:sz w:val="18"/>
                <w:szCs w:val="18"/>
              </w:rPr>
              <w:t>01（9天）</w:t>
            </w:r>
          </w:p>
        </w:tc>
        <w:tc>
          <w:tcPr>
            <w:tcW w:w="1091" w:type="pct"/>
            <w:vMerge w:val="continue"/>
            <w:shd w:val="clear" w:color="auto" w:fill="CCE8CF" w:themeFill="background1"/>
            <w:vAlign w:val="center"/>
          </w:tcPr>
          <w:p w14:paraId="6C504F5B">
            <w:pPr>
              <w:jc w:val="center"/>
              <w:textAlignment w:val="center"/>
              <w:rPr>
                <w:rFonts w:hint="eastAsia" w:asciiTheme="majorEastAsia" w:hAnsiTheme="majorEastAsia" w:eastAsiaTheme="majorEastAsia" w:cstheme="majorEastAsia"/>
                <w:color w:val="000000"/>
                <w:kern w:val="0"/>
                <w:sz w:val="18"/>
                <w:szCs w:val="18"/>
                <w:lang w:bidi="ar"/>
              </w:rPr>
            </w:pPr>
          </w:p>
        </w:tc>
      </w:tr>
    </w:tbl>
    <w:p w14:paraId="67B42576">
      <w:pPr>
        <w:widowControl/>
        <w:tabs>
          <w:tab w:val="left" w:pos="312"/>
        </w:tabs>
        <w:spacing w:after="0" w:line="360" w:lineRule="exact"/>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*以上项目详情（日程安排、项目费用、住宿、后勤安排等）请见项目附件简章。</w:t>
      </w:r>
    </w:p>
    <w:p w14:paraId="67E2579E">
      <w:pPr>
        <w:rPr>
          <w:sz w:val="24"/>
        </w:rPr>
      </w:pPr>
    </w:p>
    <w:p w14:paraId="7148380A">
      <w:pPr>
        <w:widowControl/>
        <w:spacing w:after="0" w:line="400" w:lineRule="exact"/>
        <w:rPr>
          <w:rFonts w:hint="eastAsia" w:ascii="宋体" w:hAnsi="宋体" w:eastAsia="宋体" w:cs="仿宋"/>
          <w:b/>
          <w:bCs/>
          <w:kern w:val="0"/>
          <w:sz w:val="24"/>
          <w14:ligatures w14:val="none"/>
        </w:rPr>
      </w:pPr>
      <w:r>
        <w:rPr>
          <w:rFonts w:hint="eastAsia" w:ascii="宋体" w:hAnsi="宋体" w:eastAsia="宋体" w:cs="仿宋"/>
          <w:b/>
          <w:bCs/>
          <w:kern w:val="0"/>
          <w:sz w:val="24"/>
          <w14:ligatures w14:val="none"/>
        </w:rPr>
        <w:t>三</w:t>
      </w:r>
      <w:r>
        <w:rPr>
          <w:rFonts w:ascii="宋体" w:hAnsi="宋体" w:eastAsia="宋体" w:cs="仿宋"/>
          <w:b/>
          <w:bCs/>
          <w:kern w:val="0"/>
          <w:sz w:val="24"/>
          <w14:ligatures w14:val="none"/>
        </w:rPr>
        <w:t>、项目模块</w:t>
      </w:r>
    </w:p>
    <w:p w14:paraId="7A9ACA32">
      <w:pPr>
        <w:spacing w:after="0" w:line="400" w:lineRule="exact"/>
        <w:jc w:val="both"/>
        <w:rPr>
          <w:rFonts w:hint="eastAsia" w:ascii="宋体" w:hAnsi="宋体" w:eastAsia="宋体" w:cs="Times New Roman"/>
          <w:color w:val="333333"/>
          <w:kern w:val="0"/>
          <w:sz w:val="24"/>
          <w14:ligatures w14:val="none"/>
        </w:rPr>
      </w:pPr>
      <w:r>
        <w:rPr>
          <w:rFonts w:ascii="宋体" w:hAnsi="宋体" w:eastAsia="宋体" w:cs="Times New Roman"/>
          <w:b/>
          <w:bCs/>
          <w:color w:val="333333"/>
          <w:kern w:val="0"/>
          <w:sz w:val="24"/>
          <w14:ligatures w14:val="none"/>
        </w:rPr>
        <w:t>学术课程：</w:t>
      </w:r>
      <w:r>
        <w:rPr>
          <w:rFonts w:hint="eastAsia" w:ascii="宋体" w:hAnsi="宋体" w:eastAsia="宋体" w:cs="Times New Roman"/>
          <w:color w:val="333333"/>
          <w:kern w:val="0"/>
          <w:sz w:val="24"/>
          <w14:ligatures w14:val="none"/>
        </w:rPr>
        <w:t>澳大利亚作为亚太地区重要的教育与创新中心，拥有世界一流的大学与丰富的产业资源，为学生提供了探索前沿科技、体验多元文化、提升全球胜任力的理想平台。本项目正是在这一背景下设计，旨在通过课程学习、企业参访与实践项目，帮助学生在国际化环境中拓展视野、锻炼思维并提升综合能力。</w:t>
      </w:r>
    </w:p>
    <w:p w14:paraId="1F4BD607">
      <w:pPr>
        <w:spacing w:after="0" w:line="400" w:lineRule="exact"/>
        <w:jc w:val="both"/>
        <w:rPr>
          <w:rFonts w:hint="eastAsia" w:ascii="宋体" w:hAnsi="宋体" w:eastAsia="宋体" w:cs="Times New Roman"/>
          <w:color w:val="333333"/>
          <w:kern w:val="0"/>
          <w:sz w:val="24"/>
          <w14:ligatures w14:val="none"/>
        </w:rPr>
      </w:pPr>
      <w:r>
        <w:rPr>
          <w:rFonts w:hint="eastAsia" w:ascii="宋体" w:hAnsi="宋体" w:eastAsia="宋体" w:cs="Times New Roman"/>
          <w:b/>
          <w:bCs/>
          <w:color w:val="333333"/>
          <w:kern w:val="0"/>
          <w:sz w:val="24"/>
          <w14:ligatures w14:val="none"/>
        </w:rPr>
        <w:t>政企参访</w:t>
      </w:r>
      <w:r>
        <w:rPr>
          <w:rFonts w:ascii="宋体" w:hAnsi="宋体" w:eastAsia="宋体" w:cs="Times New Roman"/>
          <w:b/>
          <w:bCs/>
          <w:color w:val="333333"/>
          <w:kern w:val="0"/>
          <w:sz w:val="24"/>
          <w14:ligatures w14:val="none"/>
        </w:rPr>
        <w:t>：</w:t>
      </w:r>
      <w:r>
        <w:rPr>
          <w:rFonts w:hint="eastAsia" w:ascii="宋体" w:hAnsi="宋体" w:eastAsia="宋体" w:cs="Times New Roman"/>
          <w:color w:val="333333"/>
          <w:kern w:val="0"/>
          <w:sz w:val="24"/>
          <w14:ligatures w14:val="none"/>
        </w:rPr>
        <w:t>项目期间选择墨尔本政府机构、知名企业和人文地点进行参访交流，以促进学生对墨尔本的经济、文化、法律、科技等方面的了解。</w:t>
      </w:r>
    </w:p>
    <w:p w14:paraId="3B5E99BE">
      <w:pPr>
        <w:spacing w:after="0" w:line="400" w:lineRule="exact"/>
        <w:jc w:val="both"/>
        <w:rPr>
          <w:rFonts w:hint="eastAsia" w:ascii="宋体" w:hAnsi="宋体" w:eastAsia="宋体" w:cs="Times New Roman"/>
          <w:color w:val="333333"/>
          <w:kern w:val="0"/>
          <w:sz w:val="24"/>
          <w14:ligatures w14:val="none"/>
        </w:rPr>
      </w:pPr>
      <w:r>
        <w:rPr>
          <w:rFonts w:ascii="宋体" w:hAnsi="宋体" w:eastAsia="宋体" w:cs="Times New Roman"/>
          <w:b/>
          <w:bCs/>
          <w:color w:val="333333"/>
          <w:kern w:val="0"/>
          <w:sz w:val="24"/>
          <w14:ligatures w14:val="none"/>
        </w:rPr>
        <w:t>人文</w:t>
      </w:r>
      <w:r>
        <w:rPr>
          <w:rFonts w:hint="eastAsia" w:ascii="宋体" w:hAnsi="宋体" w:eastAsia="宋体" w:cs="Times New Roman"/>
          <w:b/>
          <w:bCs/>
          <w:color w:val="333333"/>
          <w:kern w:val="0"/>
          <w:sz w:val="24"/>
          <w14:ligatures w14:val="none"/>
        </w:rPr>
        <w:t>交流</w:t>
      </w:r>
      <w:r>
        <w:rPr>
          <w:rFonts w:ascii="宋体" w:hAnsi="宋体" w:eastAsia="宋体" w:cs="Times New Roman"/>
          <w:b/>
          <w:bCs/>
          <w:color w:val="333333"/>
          <w:kern w:val="0"/>
          <w:sz w:val="24"/>
          <w14:ligatures w14:val="none"/>
        </w:rPr>
        <w:t>：</w:t>
      </w:r>
      <w:r>
        <w:rPr>
          <w:rFonts w:hint="eastAsia" w:ascii="宋体" w:hAnsi="宋体" w:eastAsia="宋体" w:cs="Times New Roman"/>
          <w:color w:val="333333"/>
          <w:kern w:val="0"/>
          <w:sz w:val="24"/>
          <w14:ligatures w14:val="none"/>
        </w:rPr>
        <w:t>澳大利亚的1-2月，正值盛夏，气候宜人，是探索澳洲文化的绝佳时间。课余时间项目还安排了对城市的人文考察，帮助学生了解墨尔本的历史发展与风土人情。而奥大库塔舒适的气候，形成了项目的独特地理优势。</w:t>
      </w:r>
    </w:p>
    <w:p w14:paraId="373CE7A3">
      <w:pPr>
        <w:spacing w:after="0" w:line="400" w:lineRule="exact"/>
        <w:jc w:val="both"/>
        <w:rPr>
          <w:rFonts w:hint="eastAsia" w:ascii="宋体" w:hAnsi="宋体" w:eastAsia="宋体" w:cs="Times New Roman"/>
          <w:color w:val="333333"/>
          <w:kern w:val="0"/>
          <w:sz w:val="24"/>
          <w14:ligatures w14:val="none"/>
        </w:rPr>
      </w:pPr>
      <w:r>
        <w:rPr>
          <w:rFonts w:ascii="宋体" w:hAnsi="宋体" w:eastAsia="宋体" w:cs="Times New Roman"/>
          <w:b/>
          <w:bCs/>
          <w:color w:val="333333"/>
          <w:kern w:val="0"/>
          <w:sz w:val="24"/>
          <w14:ligatures w14:val="none"/>
        </w:rPr>
        <w:t>结业</w:t>
      </w:r>
      <w:r>
        <w:rPr>
          <w:rFonts w:hint="eastAsia" w:ascii="宋体" w:hAnsi="宋体" w:eastAsia="宋体" w:cs="Times New Roman"/>
          <w:b/>
          <w:bCs/>
          <w:color w:val="333333"/>
          <w:kern w:val="0"/>
          <w:sz w:val="24"/>
          <w14:ligatures w14:val="none"/>
        </w:rPr>
        <w:t>比赛</w:t>
      </w:r>
      <w:r>
        <w:rPr>
          <w:rFonts w:ascii="宋体" w:hAnsi="宋体" w:eastAsia="宋体" w:cs="Times New Roman"/>
          <w:b/>
          <w:bCs/>
          <w:color w:val="333333"/>
          <w:kern w:val="0"/>
          <w:sz w:val="24"/>
          <w14:ligatures w14:val="none"/>
        </w:rPr>
        <w:t>：</w:t>
      </w:r>
      <w:r>
        <w:rPr>
          <w:rFonts w:hint="eastAsia" w:ascii="宋体" w:hAnsi="宋体" w:eastAsia="宋体" w:cs="Times New Roman"/>
          <w:color w:val="333333"/>
          <w:kern w:val="0"/>
          <w:sz w:val="24"/>
          <w14:ligatures w14:val="none"/>
        </w:rPr>
        <w:t>项目安排与主题相关的项目研究和结业比赛。学员在学习专业课程的同时，需要以小组为单位，收集资料并头脑风暴完成本组课题内容。并在结业当天，通过全英文演讲的形式展示并答辩。旨在帮助学生训练演讲能力，提升团队协作能力。</w:t>
      </w:r>
    </w:p>
    <w:p w14:paraId="1183B007">
      <w:pPr>
        <w:spacing w:after="0" w:line="400" w:lineRule="exact"/>
        <w:jc w:val="both"/>
        <w:rPr>
          <w:rFonts w:hint="eastAsia" w:ascii="宋体" w:hAnsi="宋体" w:eastAsia="宋体" w:cs="Times New Roman"/>
          <w:color w:val="333333"/>
          <w:kern w:val="0"/>
          <w:sz w:val="24"/>
          <w14:ligatures w14:val="none"/>
        </w:rPr>
      </w:pPr>
    </w:p>
    <w:p w14:paraId="2FE484B9">
      <w:pPr>
        <w:spacing w:after="0" w:line="400" w:lineRule="exact"/>
        <w:ind w:left="482" w:hanging="482" w:hangingChars="200"/>
        <w:jc w:val="both"/>
        <w:rPr>
          <w:rFonts w:hint="eastAsia" w:ascii="宋体" w:hAnsi="宋体" w:eastAsia="宋体" w:cs="Times New Roman"/>
          <w:color w:val="333333"/>
          <w:kern w:val="0"/>
          <w:sz w:val="24"/>
          <w14:ligatures w14:val="none"/>
        </w:rPr>
      </w:pPr>
      <w:r>
        <w:rPr>
          <w:rFonts w:hint="eastAsia" w:ascii="宋体" w:hAnsi="宋体" w:eastAsia="宋体" w:cs="仿宋"/>
          <w:b/>
          <w:bCs/>
          <w:kern w:val="0"/>
          <w:sz w:val="24"/>
          <w14:ligatures w14:val="none"/>
        </w:rPr>
        <w:t>四</w:t>
      </w:r>
      <w:r>
        <w:rPr>
          <w:rFonts w:ascii="宋体" w:hAnsi="宋体" w:eastAsia="宋体" w:cs="仿宋"/>
          <w:b/>
          <w:bCs/>
          <w:kern w:val="0"/>
          <w:sz w:val="24"/>
          <w14:ligatures w14:val="none"/>
        </w:rPr>
        <w:t>、项目收获</w:t>
      </w:r>
      <w:r>
        <w:rPr>
          <w:rFonts w:ascii="Times New Roman" w:hAnsi="Times New Roman" w:cs="Times New Roman"/>
          <w:b/>
          <w:bCs/>
          <w:spacing w:val="8"/>
          <w:kern w:val="36"/>
          <w:sz w:val="30"/>
          <w:szCs w:val="30"/>
          <w14:ligatures w14:val="none"/>
        </w:rPr>
        <w:br w:type="textWrapping"/>
      </w:r>
      <w:r>
        <w:rPr>
          <w:rFonts w:hint="eastAsia" w:ascii="宋体" w:hAnsi="宋体" w:eastAsia="宋体" w:cs="Times New Roman"/>
          <w:color w:val="333333"/>
          <w:kern w:val="0"/>
          <w:sz w:val="24"/>
          <w14:ligatures w14:val="none"/>
        </w:rPr>
        <w:t>顺利完成课程可以获得由主办方颁发的结业证书等，具体项目收获如下：</w:t>
      </w:r>
      <w:r>
        <w:rPr>
          <w:rFonts w:hint="eastAsia" w:ascii="宋体" w:hAnsi="宋体" w:eastAsia="宋体" w:cs="Times New Roman"/>
          <w:b/>
          <w:bCs/>
          <w:color w:val="333333"/>
          <w:kern w:val="0"/>
          <w:sz w:val="24"/>
          <w14:ligatures w14:val="none"/>
        </w:rPr>
        <w:t>*</w:t>
      </w:r>
      <w:r>
        <w:rPr>
          <w:rFonts w:ascii="宋体" w:hAnsi="宋体" w:eastAsia="宋体" w:cs="Times New Roman"/>
          <w:b/>
          <w:bCs/>
          <w:color w:val="333333"/>
          <w:kern w:val="0"/>
          <w:sz w:val="24"/>
          <w14:ligatures w14:val="none"/>
        </w:rPr>
        <w:t>双校目由墨尔本大学主办部门与莫纳什大学主办部门联合开展，参与项目的学员将在两周内分别体验两所 高校的校园环境及学术氛围，并收获两所院校颁发的结业证书。</w:t>
      </w:r>
    </w:p>
    <w:tbl>
      <w:tblPr>
        <w:tblStyle w:val="7"/>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27" w:type="dxa"/>
          <w:right w:w="28" w:type="dxa"/>
        </w:tblCellMar>
      </w:tblPr>
      <w:tblGrid>
        <w:gridCol w:w="1838"/>
        <w:gridCol w:w="7088"/>
      </w:tblGrid>
      <w:tr w14:paraId="17081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38" w:type="dxa"/>
          </w:tcPr>
          <w:p w14:paraId="6CC47A4E">
            <w:pPr>
              <w:spacing w:after="0" w:line="400" w:lineRule="exact"/>
              <w:rPr>
                <w:rFonts w:hint="eastAsia" w:ascii="宋体" w:hAnsi="宋体" w:eastAsia="宋体" w:cs="Times New Roman"/>
                <w:b/>
                <w:bCs/>
                <w:color w:val="333333"/>
                <w:kern w:val="0"/>
                <w:sz w:val="24"/>
                <w14:ligatures w14:val="none"/>
              </w:rPr>
            </w:pPr>
            <w:r>
              <w:rPr>
                <w:rFonts w:hint="eastAsia" w:ascii="宋体" w:hAnsi="宋体" w:eastAsia="宋体" w:cs="Times New Roman"/>
                <w:b/>
                <w:bCs/>
                <w:color w:val="333333"/>
                <w:kern w:val="0"/>
                <w:sz w:val="24"/>
                <w14:ligatures w14:val="none"/>
              </w:rPr>
              <w:t>项目</w:t>
            </w:r>
            <w:r>
              <w:rPr>
                <w:rFonts w:ascii="宋体" w:hAnsi="宋体" w:eastAsia="宋体" w:cs="Times New Roman"/>
                <w:b/>
                <w:bCs/>
                <w:color w:val="333333"/>
                <w:kern w:val="0"/>
                <w:sz w:val="24"/>
                <w14:ligatures w14:val="none"/>
              </w:rPr>
              <w:t>结业证书</w:t>
            </w:r>
          </w:p>
        </w:tc>
        <w:tc>
          <w:tcPr>
            <w:tcW w:w="7088" w:type="dxa"/>
          </w:tcPr>
          <w:p w14:paraId="4894FF04">
            <w:pPr>
              <w:spacing w:after="0" w:line="400" w:lineRule="exact"/>
              <w:jc w:val="both"/>
              <w:rPr>
                <w:rFonts w:hint="eastAsia" w:ascii="宋体" w:hAnsi="宋体" w:eastAsia="宋体" w:cs="Times New Roman"/>
                <w:color w:val="333333"/>
                <w:kern w:val="0"/>
                <w:sz w:val="24"/>
                <w14:ligatures w14:val="none"/>
              </w:rPr>
            </w:pPr>
            <w:r>
              <w:rPr>
                <w:rFonts w:hint="eastAsia" w:ascii="宋体" w:hAnsi="宋体" w:eastAsia="宋体" w:cs="Times New Roman"/>
                <w:color w:val="333333"/>
                <w:kern w:val="0"/>
                <w:sz w:val="24"/>
                <w14:ligatures w14:val="none"/>
              </w:rPr>
              <w:t>在项目的最后一天，顺利完成所有课程的学生将会获得学由墨尔本大学主办部门颁发的官方结业证书，为在墨尔本大学度过的愉快时光划上圆满的句号。</w:t>
            </w:r>
          </w:p>
        </w:tc>
      </w:tr>
      <w:tr w14:paraId="24B95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27" w:type="dxa"/>
            <w:right w:w="28" w:type="dxa"/>
          </w:tblCellMar>
        </w:tblPrEx>
        <w:tc>
          <w:tcPr>
            <w:tcW w:w="1838" w:type="dxa"/>
          </w:tcPr>
          <w:p w14:paraId="2DBBFC5E">
            <w:pPr>
              <w:spacing w:after="0" w:line="400" w:lineRule="exact"/>
              <w:jc w:val="both"/>
              <w:rPr>
                <w:rFonts w:hint="eastAsia" w:ascii="宋体" w:hAnsi="宋体" w:eastAsia="宋体" w:cs="Times New Roman"/>
                <w:b/>
                <w:bCs/>
                <w:color w:val="333333"/>
                <w:kern w:val="0"/>
                <w:sz w:val="24"/>
                <w14:ligatures w14:val="none"/>
              </w:rPr>
            </w:pPr>
            <w:r>
              <w:rPr>
                <w:rFonts w:hint="eastAsia" w:ascii="宋体" w:hAnsi="宋体" w:eastAsia="宋体" w:cs="Times New Roman"/>
                <w:b/>
                <w:bCs/>
                <w:color w:val="333333"/>
                <w:kern w:val="0"/>
                <w:sz w:val="24"/>
                <w14:ligatures w14:val="none"/>
              </w:rPr>
              <w:t>优秀学员嘉奖信</w:t>
            </w:r>
          </w:p>
        </w:tc>
        <w:tc>
          <w:tcPr>
            <w:tcW w:w="7088" w:type="dxa"/>
          </w:tcPr>
          <w:p w14:paraId="1FCD5EC5">
            <w:pPr>
              <w:spacing w:after="0" w:line="400" w:lineRule="exact"/>
              <w:jc w:val="both"/>
              <w:rPr>
                <w:rFonts w:hint="eastAsia" w:ascii="宋体" w:hAnsi="宋体" w:eastAsia="宋体" w:cs="Times New Roman"/>
                <w:color w:val="333333"/>
                <w:kern w:val="0"/>
                <w:sz w:val="24"/>
                <w14:ligatures w14:val="none"/>
              </w:rPr>
            </w:pPr>
            <w:r>
              <w:rPr>
                <w:rFonts w:hint="eastAsia" w:ascii="宋体" w:hAnsi="宋体" w:eastAsia="宋体" w:cs="Times New Roman"/>
                <w:color w:val="333333"/>
                <w:kern w:val="0"/>
                <w:sz w:val="24"/>
                <w14:ligatures w14:val="none"/>
              </w:rPr>
              <w:t>主课教授将根据结业比赛的表现，评出优胜小组，并将获得嘉奖信。</w:t>
            </w:r>
          </w:p>
        </w:tc>
      </w:tr>
    </w:tbl>
    <w:p w14:paraId="3E7E8103">
      <w:pPr>
        <w:widowControl/>
        <w:spacing w:after="0" w:line="400" w:lineRule="exact"/>
        <w:ind w:firstLine="634" w:firstLineChars="200"/>
        <w:rPr>
          <w:rFonts w:ascii="Times New Roman" w:hAnsi="Times New Roman" w:eastAsia="宋体" w:cs="Times New Roman"/>
          <w:b/>
          <w:bCs/>
          <w:spacing w:val="8"/>
          <w:kern w:val="36"/>
          <w:sz w:val="30"/>
          <w:szCs w:val="30"/>
          <w14:ligatures w14:val="none"/>
        </w:rPr>
      </w:pPr>
    </w:p>
    <w:p w14:paraId="0F459CA2">
      <w:pPr>
        <w:widowControl/>
        <w:spacing w:after="0" w:line="400" w:lineRule="exact"/>
        <w:rPr>
          <w:rFonts w:hint="eastAsia" w:ascii="宋体" w:hAnsi="宋体" w:eastAsia="宋体" w:cs="仿宋"/>
          <w:b/>
          <w:bCs/>
          <w:kern w:val="0"/>
          <w:sz w:val="24"/>
          <w14:ligatures w14:val="none"/>
        </w:rPr>
      </w:pPr>
      <w:r>
        <w:rPr>
          <w:rFonts w:hint="eastAsia" w:ascii="宋体" w:hAnsi="宋体" w:eastAsia="宋体" w:cs="仿宋"/>
          <w:b/>
          <w:bCs/>
          <w:kern w:val="0"/>
          <w:sz w:val="24"/>
          <w14:ligatures w14:val="none"/>
        </w:rPr>
        <w:t>五、</w:t>
      </w:r>
      <w:r>
        <w:rPr>
          <w:rFonts w:ascii="宋体" w:hAnsi="宋体" w:eastAsia="宋体" w:cs="仿宋"/>
          <w:b/>
          <w:bCs/>
          <w:kern w:val="0"/>
          <w:sz w:val="24"/>
          <w14:ligatures w14:val="none"/>
        </w:rPr>
        <w:t>项目亮点</w:t>
      </w:r>
    </w:p>
    <w:p w14:paraId="1745F735">
      <w:pPr>
        <w:numPr>
          <w:ilvl w:val="0"/>
          <w:numId w:val="1"/>
        </w:numPr>
        <w:spacing w:after="0" w:line="400" w:lineRule="exact"/>
        <w:ind w:left="0" w:firstLine="480" w:firstLineChars="200"/>
        <w:jc w:val="both"/>
        <w:rPr>
          <w:rFonts w:hint="eastAsia" w:ascii="宋体" w:hAnsi="宋体" w:eastAsia="宋体" w:cs="Times New Roman"/>
          <w:color w:val="333333"/>
          <w:kern w:val="0"/>
          <w:sz w:val="24"/>
          <w14:ligatures w14:val="none"/>
        </w:rPr>
      </w:pPr>
      <w:r>
        <w:rPr>
          <w:rFonts w:hint="eastAsia" w:ascii="宋体" w:hAnsi="宋体" w:eastAsia="宋体" w:cs="Times New Roman"/>
          <w:color w:val="333333"/>
          <w:kern w:val="0"/>
          <w:sz w:val="24"/>
          <w14:ligatures w14:val="none"/>
        </w:rPr>
        <w:t>由墨尔本大学资深教授主讲，本系列课程旨在培养学生在科技、工程、商业与创新领域的跨学科视野、实践能力与领导力，助力学生应对未来复杂科技与商业挑战。</w:t>
      </w:r>
    </w:p>
    <w:p w14:paraId="3BEA8581">
      <w:pPr>
        <w:numPr>
          <w:ilvl w:val="0"/>
          <w:numId w:val="1"/>
        </w:numPr>
        <w:spacing w:after="0" w:line="400" w:lineRule="exact"/>
        <w:ind w:left="0" w:firstLine="440" w:firstLineChars="200"/>
        <w:jc w:val="both"/>
        <w:rPr>
          <w:rFonts w:hint="eastAsia" w:ascii="宋体" w:hAnsi="宋体" w:eastAsia="宋体" w:cs="Times New Roman"/>
          <w:color w:val="333333"/>
          <w:kern w:val="0"/>
          <w:sz w:val="24"/>
          <w14:ligatures w14:val="none"/>
        </w:rPr>
      </w:pPr>
      <w:r>
        <w:rPr>
          <w14:ligatures w14:val="none"/>
        </w:rPr>
        <w:drawing>
          <wp:anchor distT="0" distB="0" distL="114300" distR="114300" simplePos="0" relativeHeight="251659264" behindDoc="0" locked="0" layoutInCell="1" allowOverlap="1">
            <wp:simplePos x="0" y="0"/>
            <wp:positionH relativeFrom="margin">
              <wp:align>right</wp:align>
            </wp:positionH>
            <wp:positionV relativeFrom="paragraph">
              <wp:posOffset>574675</wp:posOffset>
            </wp:positionV>
            <wp:extent cx="5759450" cy="1347470"/>
            <wp:effectExtent l="0" t="0" r="0" b="5080"/>
            <wp:wrapSquare wrapText="bothSides"/>
            <wp:docPr id="2099050501" name="图片 1" descr="房子外面有许多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050501" name="图片 1" descr="房子外面有许多人&#10;&#10;AI 生成的内容可能不正确。"/>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59450" cy="1347470"/>
                    </a:xfrm>
                    <a:prstGeom prst="rect">
                      <a:avLst/>
                    </a:prstGeom>
                  </pic:spPr>
                </pic:pic>
              </a:graphicData>
            </a:graphic>
          </wp:anchor>
        </w:drawing>
      </w:r>
      <w:r>
        <w:rPr>
          <w:rFonts w:hint="eastAsia" w:ascii="宋体" w:hAnsi="宋体" w:eastAsia="宋体" w:cs="Times New Roman"/>
          <w:color w:val="333333"/>
          <w:kern w:val="0"/>
          <w:sz w:val="24"/>
          <w14:ligatures w14:val="none"/>
        </w:rPr>
        <w:t>层次丰富的项目设计：项目以名师课程+政企参访+校园参访+人文游览结合的形式来安排行程。极大程度丰富了学生在当地的学习与生活。</w:t>
      </w:r>
    </w:p>
    <w:p w14:paraId="4211F4BF">
      <w:pPr>
        <w:spacing w:after="0" w:line="400" w:lineRule="exact"/>
        <w:jc w:val="both"/>
        <w:rPr>
          <w:rFonts w:hint="eastAsia" w:ascii="宋体" w:hAnsi="宋体" w:eastAsia="宋体" w:cs="Times New Roman"/>
          <w:color w:val="333333"/>
          <w:kern w:val="0"/>
          <w:sz w:val="24"/>
          <w14:ligatures w14:val="none"/>
        </w:rPr>
      </w:pPr>
    </w:p>
    <w:p w14:paraId="27C36545">
      <w:pPr>
        <w:widowControl/>
        <w:spacing w:after="0" w:line="400" w:lineRule="exact"/>
        <w:rPr>
          <w:rFonts w:hint="eastAsia" w:ascii="宋体" w:hAnsi="宋体" w:eastAsia="宋体" w:cs="仿宋"/>
          <w:b/>
          <w:bCs/>
          <w:kern w:val="0"/>
          <w:sz w:val="24"/>
          <w14:ligatures w14:val="none"/>
        </w:rPr>
      </w:pPr>
      <w:r>
        <w:rPr>
          <w:rFonts w:hint="eastAsia" w:ascii="宋体" w:hAnsi="宋体" w:eastAsia="宋体" w:cs="仿宋"/>
          <w:b/>
          <w:bCs/>
          <w:kern w:val="0"/>
          <w:sz w:val="24"/>
          <w14:ligatures w14:val="none"/>
        </w:rPr>
        <w:t>六</w:t>
      </w:r>
      <w:r>
        <w:rPr>
          <w:rFonts w:ascii="宋体" w:hAnsi="宋体" w:eastAsia="宋体" w:cs="仿宋"/>
          <w:b/>
          <w:bCs/>
          <w:kern w:val="0"/>
          <w:sz w:val="24"/>
          <w14:ligatures w14:val="none"/>
        </w:rPr>
        <w:t>、申请资格与条件</w:t>
      </w:r>
    </w:p>
    <w:p w14:paraId="3F4E6575">
      <w:pPr>
        <w:spacing w:after="0" w:line="400" w:lineRule="exact"/>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1.申请人目前应为我校在读的本科生、研究生，年级不限，支持跨专业申请。</w:t>
      </w:r>
    </w:p>
    <w:p w14:paraId="3D9719A3">
      <w:pPr>
        <w:spacing w:after="0" w:line="400" w:lineRule="exact"/>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2.政治素质好，坚持四项基本原则，热爱社会主义祖国，无违法违纪记录。</w:t>
      </w:r>
    </w:p>
    <w:p w14:paraId="68BF5DC6">
      <w:pPr>
        <w:spacing w:after="0" w:line="400" w:lineRule="exact"/>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3.学习成绩优异，具有较强的、扎实的专业理论基础和实践能力。</w:t>
      </w:r>
    </w:p>
    <w:p w14:paraId="107D73C9">
      <w:pPr>
        <w:spacing w:after="0" w:line="400" w:lineRule="exact"/>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4.具有较强的英语听说读写能力。</w:t>
      </w:r>
    </w:p>
    <w:p w14:paraId="37CFAD5A">
      <w:pPr>
        <w:spacing w:after="0" w:line="400" w:lineRule="exact"/>
        <w:jc w:val="both"/>
        <w:rPr>
          <w:rFonts w:hint="eastAsia" w:ascii="宋体" w:hAnsi="宋体" w:eastAsia="宋体" w:cs="宋体"/>
          <w:kern w:val="0"/>
          <w:sz w:val="24"/>
          <w14:ligatures w14:val="none"/>
        </w:rPr>
      </w:pPr>
      <w:r>
        <w:rPr>
          <w:rFonts w:ascii="宋体" w:hAnsi="宋体" w:eastAsia="宋体" w:cs="宋体"/>
          <w:kern w:val="0"/>
          <w:sz w:val="24"/>
          <w14:ligatures w14:val="none"/>
        </w:rPr>
        <w:t>5.</w:t>
      </w:r>
      <w:r>
        <w:rPr>
          <w:rFonts w:hint="eastAsia" w:ascii="宋体" w:hAnsi="宋体" w:eastAsia="宋体" w:cs="宋体"/>
          <w:kern w:val="0"/>
          <w:sz w:val="24"/>
          <w14:ligatures w14:val="none"/>
        </w:rPr>
        <w:t>身心健康，能圆满完成出国访问与学习任务。</w:t>
      </w:r>
    </w:p>
    <w:p w14:paraId="2638CB54">
      <w:pPr>
        <w:spacing w:after="0" w:line="400" w:lineRule="exact"/>
        <w:jc w:val="both"/>
        <w:rPr>
          <w:rFonts w:hint="eastAsia" w:ascii="宋体" w:hAnsi="宋体" w:eastAsia="宋体" w:cs="宋体"/>
          <w:kern w:val="0"/>
          <w:sz w:val="24"/>
          <w14:ligatures w14:val="none"/>
        </w:rPr>
      </w:pPr>
      <w:r>
        <w:rPr>
          <w:rFonts w:ascii="宋体" w:hAnsi="宋体" w:eastAsia="宋体" w:cs="宋体"/>
          <w:kern w:val="0"/>
          <w:sz w:val="24"/>
          <w14:ligatures w14:val="none"/>
        </w:rPr>
        <w:t>6.</w:t>
      </w:r>
      <w:r>
        <w:rPr>
          <w:rFonts w:hint="eastAsia" w:ascii="宋体" w:hAnsi="宋体" w:eastAsia="宋体" w:cs="宋体"/>
          <w:kern w:val="0"/>
          <w:sz w:val="24"/>
          <w14:ligatures w14:val="none"/>
        </w:rPr>
        <w:t>已交足我校规定的各项费用，具有一定的经济能力</w:t>
      </w:r>
    </w:p>
    <w:p w14:paraId="2965002F">
      <w:pPr>
        <w:spacing w:after="0" w:line="400" w:lineRule="exact"/>
        <w:jc w:val="both"/>
        <w:rPr>
          <w:rFonts w:hint="eastAsia" w:ascii="宋体" w:hAnsi="宋体" w:eastAsia="宋体" w:cs="宋体"/>
          <w:kern w:val="0"/>
          <w:sz w:val="24"/>
          <w14:ligatures w14:val="none"/>
        </w:rPr>
      </w:pPr>
    </w:p>
    <w:p w14:paraId="6BDD21F1">
      <w:pPr>
        <w:widowControl/>
        <w:spacing w:after="0" w:line="400" w:lineRule="exact"/>
        <w:rPr>
          <w:rFonts w:hint="eastAsia" w:ascii="宋体" w:hAnsi="宋体" w:eastAsia="宋体" w:cs="仿宋"/>
          <w:b/>
          <w:bCs/>
          <w:kern w:val="0"/>
          <w:sz w:val="24"/>
          <w14:ligatures w14:val="none"/>
        </w:rPr>
      </w:pPr>
      <w:r>
        <w:rPr>
          <w:rFonts w:hint="eastAsia" w:ascii="宋体" w:hAnsi="宋体" w:eastAsia="宋体" w:cs="仿宋"/>
          <w:b/>
          <w:bCs/>
          <w:kern w:val="0"/>
          <w:sz w:val="24"/>
          <w14:ligatures w14:val="none"/>
        </w:rPr>
        <w:t>七</w:t>
      </w:r>
      <w:r>
        <w:rPr>
          <w:rFonts w:ascii="宋体" w:hAnsi="宋体" w:eastAsia="宋体" w:cs="仿宋"/>
          <w:b/>
          <w:bCs/>
          <w:kern w:val="0"/>
          <w:sz w:val="24"/>
          <w14:ligatures w14:val="none"/>
        </w:rPr>
        <w:t>、报名程序及时间</w:t>
      </w:r>
    </w:p>
    <w:p w14:paraId="1D6BFEE2">
      <w:pPr>
        <w:spacing w:after="0" w:line="400" w:lineRule="exact"/>
        <w:jc w:val="both"/>
        <w:rPr>
          <w:rFonts w:hint="eastAsia" w:ascii="宋体" w:hAnsi="宋体" w:eastAsia="宋体" w:cs="宋体"/>
          <w:kern w:val="0"/>
          <w:sz w:val="24"/>
          <w14:ligatures w14:val="none"/>
        </w:rPr>
      </w:pPr>
      <w:r>
        <w:rPr>
          <w:rFonts w:ascii="宋体" w:hAnsi="宋体" w:eastAsia="宋体" w:cs="宋体"/>
          <w:kern w:val="0"/>
          <w:sz w:val="24"/>
          <w14:ligatures w14:val="none"/>
        </w:rPr>
        <w:t>1．采取“个人申请、学院推荐、专家评审、择优录取”的方式进行选拔。</w:t>
      </w:r>
    </w:p>
    <w:p w14:paraId="531DDFF8">
      <w:pPr>
        <w:spacing w:after="0" w:line="400" w:lineRule="exact"/>
        <w:jc w:val="both"/>
        <w:rPr>
          <w:rFonts w:hint="eastAsia" w:ascii="宋体" w:hAnsi="宋体" w:eastAsia="宋体" w:cs="宋体"/>
          <w:kern w:val="0"/>
          <w:sz w:val="24"/>
          <w14:ligatures w14:val="none"/>
        </w:rPr>
      </w:pPr>
      <w:r>
        <w:rPr>
          <w:rFonts w:ascii="宋体" w:hAnsi="宋体" w:eastAsia="宋体" w:cs="宋体"/>
          <w:kern w:val="0"/>
          <w:sz w:val="24"/>
          <w14:ligatures w14:val="none"/>
        </w:rPr>
        <w:t>2．申请人应向所在学院提交以下材料：</w:t>
      </w:r>
    </w:p>
    <w:p w14:paraId="3C260BF4">
      <w:pPr>
        <w:spacing w:after="0" w:line="400" w:lineRule="exact"/>
        <w:ind w:left="220" w:leftChars="100"/>
        <w:jc w:val="both"/>
        <w:rPr>
          <w:rFonts w:hint="eastAsia" w:ascii="宋体" w:hAnsi="宋体" w:eastAsia="宋体" w:cs="宋体"/>
          <w:kern w:val="0"/>
          <w:sz w:val="24"/>
          <w14:ligatures w14:val="none"/>
        </w:rPr>
      </w:pPr>
      <w:r>
        <w:rPr>
          <w:rFonts w:ascii="宋体" w:hAnsi="宋体" w:eastAsia="宋体" w:cs="宋体"/>
          <w:kern w:val="0"/>
          <w:sz w:val="24"/>
          <w14:ligatures w14:val="none"/>
        </w:rPr>
        <w:t>（1）《南京邮电大学本科生海外访学申请表》（附件2）；</w:t>
      </w:r>
    </w:p>
    <w:p w14:paraId="1AA567D5">
      <w:pPr>
        <w:spacing w:after="0" w:line="400" w:lineRule="exact"/>
        <w:ind w:left="220" w:leftChars="100"/>
        <w:jc w:val="both"/>
        <w:rPr>
          <w:rFonts w:hint="eastAsia" w:ascii="宋体" w:hAnsi="宋体" w:eastAsia="宋体" w:cs="宋体"/>
          <w:kern w:val="0"/>
          <w:sz w:val="24"/>
          <w14:ligatures w14:val="none"/>
        </w:rPr>
      </w:pPr>
      <w:r>
        <w:rPr>
          <w:rFonts w:ascii="宋体" w:hAnsi="宋体" w:eastAsia="宋体" w:cs="宋体"/>
          <w:kern w:val="0"/>
          <w:sz w:val="24"/>
          <w14:ligatures w14:val="none"/>
        </w:rPr>
        <w:t>（2）英语水平证明及复印件</w:t>
      </w:r>
      <w:r>
        <w:rPr>
          <w:rFonts w:hint="eastAsia" w:ascii="宋体" w:hAnsi="宋体" w:eastAsia="宋体" w:cs="宋体"/>
          <w:kern w:val="0"/>
          <w:sz w:val="24"/>
          <w14:ligatures w14:val="none"/>
        </w:rPr>
        <w:t>（若有）</w:t>
      </w:r>
      <w:r>
        <w:rPr>
          <w:rFonts w:ascii="宋体" w:hAnsi="宋体" w:eastAsia="宋体" w:cs="宋体"/>
          <w:kern w:val="0"/>
          <w:sz w:val="24"/>
          <w14:ligatures w14:val="none"/>
        </w:rPr>
        <w:t>；</w:t>
      </w:r>
    </w:p>
    <w:p w14:paraId="568D2833">
      <w:pPr>
        <w:spacing w:after="0" w:line="400" w:lineRule="exact"/>
        <w:ind w:left="220" w:leftChars="100"/>
        <w:jc w:val="both"/>
        <w:rPr>
          <w:rFonts w:hint="eastAsia" w:ascii="宋体" w:hAnsi="宋体" w:eastAsia="宋体" w:cs="宋体"/>
          <w:kern w:val="0"/>
          <w:sz w:val="24"/>
          <w14:ligatures w14:val="none"/>
        </w:rPr>
      </w:pPr>
      <w:r>
        <w:rPr>
          <w:rFonts w:ascii="宋体" w:hAnsi="宋体" w:eastAsia="宋体" w:cs="宋体"/>
          <w:kern w:val="0"/>
          <w:sz w:val="24"/>
          <w14:ligatures w14:val="none"/>
        </w:rPr>
        <w:t>（3）学术科研能力证明材料及复印件（包括论文发表、参与竞赛、项目等）</w:t>
      </w:r>
      <w:r>
        <w:rPr>
          <w:rFonts w:hint="eastAsia" w:ascii="宋体" w:hAnsi="宋体" w:eastAsia="宋体" w:cs="宋体"/>
          <w:kern w:val="0"/>
          <w:sz w:val="24"/>
          <w14:ligatures w14:val="none"/>
        </w:rPr>
        <w:t>（若有）</w:t>
      </w:r>
      <w:r>
        <w:rPr>
          <w:rFonts w:ascii="宋体" w:hAnsi="宋体" w:eastAsia="宋体" w:cs="宋体"/>
          <w:kern w:val="0"/>
          <w:sz w:val="24"/>
          <w14:ligatures w14:val="none"/>
        </w:rPr>
        <w:t>；</w:t>
      </w:r>
    </w:p>
    <w:p w14:paraId="004C13DC">
      <w:pPr>
        <w:spacing w:after="0" w:line="400" w:lineRule="exact"/>
        <w:ind w:left="220" w:leftChars="100"/>
        <w:jc w:val="both"/>
        <w:rPr>
          <w:rFonts w:hint="eastAsia" w:ascii="宋体" w:hAnsi="宋体" w:eastAsia="宋体" w:cs="宋体"/>
          <w:kern w:val="0"/>
          <w:sz w:val="24"/>
          <w14:ligatures w14:val="none"/>
        </w:rPr>
      </w:pPr>
      <w:r>
        <w:rPr>
          <w:rFonts w:ascii="宋体" w:hAnsi="宋体" w:eastAsia="宋体" w:cs="宋体"/>
          <w:kern w:val="0"/>
          <w:sz w:val="24"/>
          <w14:ligatures w14:val="none"/>
        </w:rPr>
        <w:t>（4）获奖证书及复印件</w:t>
      </w:r>
      <w:r>
        <w:rPr>
          <w:rFonts w:hint="eastAsia" w:ascii="宋体" w:hAnsi="宋体" w:eastAsia="宋体" w:cs="宋体"/>
          <w:kern w:val="0"/>
          <w:sz w:val="24"/>
          <w14:ligatures w14:val="none"/>
        </w:rPr>
        <w:t>（若有）</w:t>
      </w:r>
      <w:r>
        <w:rPr>
          <w:rFonts w:ascii="宋体" w:hAnsi="宋体" w:eastAsia="宋体" w:cs="宋体"/>
          <w:kern w:val="0"/>
          <w:sz w:val="24"/>
          <w14:ligatures w14:val="none"/>
        </w:rPr>
        <w:t>。</w:t>
      </w:r>
    </w:p>
    <w:p w14:paraId="01A27E8C">
      <w:pPr>
        <w:spacing w:after="0" w:line="400" w:lineRule="exact"/>
        <w:jc w:val="both"/>
        <w:rPr>
          <w:rFonts w:hint="eastAsia" w:ascii="宋体" w:hAnsi="宋体" w:eastAsia="宋体" w:cs="宋体"/>
          <w:kern w:val="0"/>
          <w:sz w:val="24"/>
          <w:highlight w:val="none"/>
          <w14:ligatures w14:val="none"/>
        </w:rPr>
      </w:pPr>
      <w:r>
        <w:rPr>
          <w:rFonts w:ascii="宋体" w:hAnsi="宋体" w:eastAsia="宋体" w:cs="宋体"/>
          <w:kern w:val="0"/>
          <w:sz w:val="24"/>
          <w14:ligatures w14:val="none"/>
        </w:rPr>
        <w:t>3．申请人申请材料交至各学院，学院根据</w:t>
      </w:r>
      <w:r>
        <w:rPr>
          <w:rFonts w:ascii="宋体" w:hAnsi="宋体" w:eastAsia="宋体" w:cs="宋体"/>
          <w:kern w:val="0"/>
          <w:sz w:val="24"/>
          <w:highlight w:val="none"/>
          <w14:ligatures w14:val="none"/>
        </w:rPr>
        <w:t>申请资格与条件对申请人进行筛选、排序并填写《南京邮电大学本科生海外访学申请汇总表》（附件3），于</w:t>
      </w:r>
      <w:r>
        <w:rPr>
          <w:rFonts w:hint="eastAsia" w:ascii="宋体" w:hAnsi="宋体" w:eastAsia="宋体" w:cs="宋体"/>
          <w:b/>
          <w:bCs/>
          <w:kern w:val="0"/>
          <w:sz w:val="24"/>
          <w:highlight w:val="none"/>
          <w14:ligatures w14:val="none"/>
        </w:rPr>
        <w:t>11</w:t>
      </w:r>
      <w:r>
        <w:rPr>
          <w:rFonts w:ascii="宋体" w:hAnsi="宋体" w:eastAsia="宋体" w:cs="宋体"/>
          <w:b/>
          <w:bCs/>
          <w:kern w:val="0"/>
          <w:sz w:val="24"/>
          <w:highlight w:val="none"/>
          <w14:ligatures w14:val="none"/>
        </w:rPr>
        <w:t>月</w:t>
      </w:r>
      <w:r>
        <w:rPr>
          <w:rFonts w:hint="eastAsia" w:ascii="宋体" w:hAnsi="宋体" w:eastAsia="宋体" w:cs="宋体"/>
          <w:b/>
          <w:bCs/>
          <w:kern w:val="0"/>
          <w:sz w:val="24"/>
          <w:highlight w:val="none"/>
          <w14:ligatures w14:val="none"/>
        </w:rPr>
        <w:t>27</w:t>
      </w:r>
      <w:r>
        <w:rPr>
          <w:rFonts w:ascii="宋体" w:hAnsi="宋体" w:eastAsia="宋体" w:cs="宋体"/>
          <w:b/>
          <w:bCs/>
          <w:kern w:val="0"/>
          <w:sz w:val="24"/>
          <w:highlight w:val="none"/>
          <w14:ligatures w14:val="none"/>
        </w:rPr>
        <w:t>日</w:t>
      </w:r>
      <w:r>
        <w:rPr>
          <w:rFonts w:ascii="宋体" w:hAnsi="宋体" w:eastAsia="宋体" w:cs="宋体"/>
          <w:kern w:val="0"/>
          <w:sz w:val="24"/>
          <w:highlight w:val="none"/>
          <w14:ligatures w14:val="none"/>
        </w:rPr>
        <w:t>前将候选人申请材料及汇总表交至</w:t>
      </w:r>
      <w:r>
        <w:rPr>
          <w:rFonts w:hint="eastAsia" w:ascii="宋体" w:hAnsi="宋体" w:eastAsia="宋体" w:cs="宋体"/>
          <w:kern w:val="0"/>
          <w:sz w:val="24"/>
          <w:highlight w:val="none"/>
          <w:lang w:val="en-US" w:eastAsia="zh-CN"/>
          <w14:ligatures w14:val="none"/>
        </w:rPr>
        <w:t>本科生院</w:t>
      </w:r>
      <w:r>
        <w:rPr>
          <w:rFonts w:ascii="宋体" w:hAnsi="宋体" w:eastAsia="宋体" w:cs="宋体"/>
          <w:kern w:val="0"/>
          <w:sz w:val="24"/>
          <w:highlight w:val="none"/>
          <w14:ligatures w14:val="none"/>
        </w:rPr>
        <w:t>，逾期不递交材料的学院作自动放弃处理。</w:t>
      </w:r>
    </w:p>
    <w:p w14:paraId="51DD6700">
      <w:pPr>
        <w:spacing w:after="0" w:line="400" w:lineRule="exact"/>
        <w:jc w:val="both"/>
      </w:pPr>
      <w:r>
        <w:rPr>
          <w:rFonts w:ascii="宋体" w:hAnsi="宋体" w:eastAsia="宋体" w:cs="宋体"/>
          <w:kern w:val="0"/>
          <w:sz w:val="24"/>
          <w:highlight w:val="none"/>
          <w14:ligatures w14:val="none"/>
        </w:rPr>
        <w:t>4．</w:t>
      </w:r>
      <w:r>
        <w:rPr>
          <w:rFonts w:hint="eastAsia" w:ascii="宋体" w:hAnsi="宋体" w:eastAsia="宋体" w:cs="宋体"/>
          <w:kern w:val="0"/>
          <w:sz w:val="24"/>
          <w:highlight w:val="none"/>
          <w:lang w:val="en-US" w:eastAsia="zh-CN"/>
          <w14:ligatures w14:val="none"/>
        </w:rPr>
        <w:t>本科生院</w:t>
      </w:r>
      <w:r>
        <w:rPr>
          <w:rFonts w:ascii="宋体" w:hAnsi="宋体" w:eastAsia="宋体" w:cs="宋体"/>
          <w:kern w:val="0"/>
          <w:sz w:val="24"/>
          <w:highlight w:val="none"/>
          <w14:ligatures w14:val="none"/>
        </w:rPr>
        <w:t>会同相关部门，共同组织专家进行评审，确定我校参加该</w:t>
      </w:r>
      <w:r>
        <w:rPr>
          <w:rFonts w:ascii="宋体" w:hAnsi="宋体" w:eastAsia="宋体" w:cs="宋体"/>
          <w:kern w:val="0"/>
          <w:sz w:val="24"/>
          <w14:ligatures w14:val="none"/>
        </w:rPr>
        <w:t>项目的学生名单，并进行公示。</w:t>
      </w:r>
    </w:p>
    <w:p w14:paraId="35C53E4F">
      <w:pPr>
        <w:spacing w:after="0" w:line="500" w:lineRule="exact"/>
        <w:rPr>
          <w:rFonts w:ascii="Times New Roman" w:hAnsi="Times New Roman" w:eastAsia="宋体" w:cs="Times New Roman"/>
          <w:kern w:val="0"/>
          <w:sz w:val="24"/>
        </w:rPr>
      </w:pPr>
    </w:p>
    <w:p w14:paraId="6AF42A8C">
      <w:pPr>
        <w:widowControl/>
        <w:spacing w:after="0" w:line="400" w:lineRule="exact"/>
        <w:rPr>
          <w:rFonts w:hint="eastAsia" w:ascii="宋体" w:hAnsi="宋体" w:eastAsia="宋体" w:cs="仿宋"/>
          <w:b/>
          <w:bCs/>
          <w:kern w:val="0"/>
          <w:sz w:val="24"/>
          <w14:ligatures w14:val="none"/>
        </w:rPr>
      </w:pPr>
      <w:r>
        <w:rPr>
          <w:rFonts w:hint="eastAsia" w:ascii="宋体" w:hAnsi="宋体" w:eastAsia="宋体" w:cs="仿宋"/>
          <w:b/>
          <w:bCs/>
          <w:kern w:val="0"/>
          <w:sz w:val="24"/>
          <w14:ligatures w14:val="none"/>
        </w:rPr>
        <w:t>八</w:t>
      </w:r>
      <w:r>
        <w:rPr>
          <w:rFonts w:ascii="宋体" w:hAnsi="宋体" w:eastAsia="宋体" w:cs="仿宋"/>
          <w:b/>
          <w:bCs/>
          <w:kern w:val="0"/>
          <w:sz w:val="24"/>
          <w14:ligatures w14:val="none"/>
        </w:rPr>
        <w:t>、其他</w:t>
      </w:r>
    </w:p>
    <w:p w14:paraId="6D74C06D">
      <w:pPr>
        <w:spacing w:line="400" w:lineRule="exact"/>
        <w:rPr>
          <w:rFonts w:hint="eastAsia" w:ascii="宋体" w:hAnsi="宋体" w:eastAsia="宋体" w:cs="宋体"/>
        </w:rPr>
      </w:pPr>
      <w:r>
        <w:rPr>
          <w:rFonts w:hint="eastAsia" w:ascii="宋体" w:hAnsi="宋体" w:eastAsia="宋体" w:cs="宋体"/>
        </w:rPr>
        <w:t>1.联系人</w:t>
      </w:r>
    </w:p>
    <w:p w14:paraId="33070CA9">
      <w:pPr>
        <w:spacing w:after="0" w:line="400" w:lineRule="exact"/>
        <w:jc w:val="both"/>
        <w:rPr>
          <w:rFonts w:hint="eastAsia" w:ascii="宋体" w:hAnsi="宋体" w:eastAsia="宋体" w:cs="宋体"/>
          <w:sz w:val="24"/>
          <w14:ligatures w14:val="none"/>
        </w:rPr>
      </w:pPr>
      <w:r>
        <w:rPr>
          <w:rFonts w:hint="eastAsia" w:ascii="宋体" w:hAnsi="宋体" w:eastAsia="宋体" w:cs="宋体"/>
          <w:sz w:val="24"/>
          <w14:ligatures w14:val="none"/>
        </w:rPr>
        <w:t>国际处</w:t>
      </w:r>
      <w:r>
        <w:rPr>
          <w:rFonts w:hint="eastAsia" w:ascii="宋体" w:hAnsi="宋体" w:eastAsia="宋体" w:cs="宋体"/>
          <w:sz w:val="24"/>
          <w:lang w:val="en-US" w:eastAsia="zh-CN"/>
          <w14:ligatures w14:val="none"/>
        </w:rPr>
        <w:t>朱</w:t>
      </w:r>
      <w:r>
        <w:rPr>
          <w:rFonts w:hint="eastAsia" w:ascii="宋体" w:hAnsi="宋体" w:eastAsia="宋体" w:cs="宋体"/>
          <w:sz w:val="24"/>
          <w14:ligatures w14:val="none"/>
        </w:rPr>
        <w:t>老师025-83492393</w:t>
      </w:r>
    </w:p>
    <w:p w14:paraId="307D7B00">
      <w:pPr>
        <w:spacing w:after="0" w:line="400" w:lineRule="exact"/>
        <w:jc w:val="both"/>
        <w:rPr>
          <w:rFonts w:hint="eastAsia" w:ascii="宋体" w:hAnsi="宋体" w:eastAsia="宋体" w:cs="宋体"/>
          <w:sz w:val="24"/>
          <w14:ligatures w14:val="none"/>
        </w:rPr>
      </w:pPr>
      <w:r>
        <w:rPr>
          <w:rFonts w:hint="eastAsia" w:ascii="宋体" w:hAnsi="宋体" w:eastAsia="宋体" w:cs="宋体"/>
          <w:sz w:val="24"/>
          <w14:ligatures w14:val="none"/>
        </w:rPr>
        <w:t>教务处于老师025-85866258</w:t>
      </w:r>
    </w:p>
    <w:p w14:paraId="58E46D0A">
      <w:pPr>
        <w:tabs>
          <w:tab w:val="left" w:pos="312"/>
        </w:tabs>
        <w:spacing w:after="0" w:line="400" w:lineRule="exact"/>
        <w:jc w:val="both"/>
        <w:rPr>
          <w:rFonts w:hint="eastAsia" w:ascii="宋体" w:hAnsi="宋体" w:eastAsia="宋体" w:cs="宋体"/>
          <w:sz w:val="24"/>
          <w14:ligatures w14:val="none"/>
        </w:rPr>
      </w:pPr>
      <w:r>
        <w:rPr>
          <w:rFonts w:hint="eastAsia" w:ascii="宋体" w:hAnsi="宋体" w:eastAsia="宋体" w:cs="宋体"/>
          <w:sz w:val="24"/>
          <w:lang w:val="en-US" w:eastAsia="zh-CN"/>
          <w14:ligatures w14:val="none"/>
        </w:rPr>
        <w:t>2.</w:t>
      </w:r>
      <w:r>
        <w:rPr>
          <w:rFonts w:hint="eastAsia" w:ascii="宋体" w:hAnsi="宋体" w:eastAsia="宋体" w:cs="宋体"/>
          <w:sz w:val="24"/>
          <w14:ligatures w14:val="none"/>
        </w:rPr>
        <w:t>被录取学生如需交纳其他材料将另行通知。</w:t>
      </w:r>
    </w:p>
    <w:p w14:paraId="4E3801C2">
      <w:pPr>
        <w:spacing w:after="0" w:line="400" w:lineRule="exact"/>
        <w:jc w:val="both"/>
        <w:rPr>
          <w:rFonts w:hint="eastAsia" w:ascii="宋体" w:hAnsi="宋体" w:eastAsia="宋体" w:cs="宋体"/>
          <w:sz w:val="24"/>
          <w14:ligatures w14:val="none"/>
        </w:rPr>
      </w:pPr>
    </w:p>
    <w:p w14:paraId="3CF5F661">
      <w:pPr>
        <w:keepNext w:val="0"/>
        <w:keepLines w:val="0"/>
        <w:pageBreakBefore w:val="0"/>
        <w:widowControl w:val="0"/>
        <w:kinsoku/>
        <w:wordWrap/>
        <w:overflowPunct/>
        <w:topLinePunct w:val="0"/>
        <w:autoSpaceDE/>
        <w:autoSpaceDN/>
        <w:bidi w:val="0"/>
        <w:adjustRightInd/>
        <w:snapToGrid/>
        <w:spacing w:after="0" w:line="400" w:lineRule="exact"/>
        <w:jc w:val="right"/>
        <w:textAlignment w:val="auto"/>
        <w:rPr>
          <w:rFonts w:hint="eastAsia" w:ascii="宋体" w:hAnsi="宋体" w:eastAsia="宋体"/>
          <w:sz w:val="24"/>
        </w:rPr>
      </w:pPr>
      <w:r>
        <w:rPr>
          <w:rFonts w:hint="eastAsia" w:ascii="宋体" w:hAnsi="宋体" w:eastAsia="宋体"/>
          <w:sz w:val="24"/>
        </w:rPr>
        <w:t>国际合作交流处</w:t>
      </w:r>
    </w:p>
    <w:p w14:paraId="46F10CA2">
      <w:pPr>
        <w:keepNext w:val="0"/>
        <w:keepLines w:val="0"/>
        <w:pageBreakBefore w:val="0"/>
        <w:widowControl w:val="0"/>
        <w:kinsoku/>
        <w:wordWrap/>
        <w:overflowPunct/>
        <w:topLinePunct w:val="0"/>
        <w:autoSpaceDE/>
        <w:autoSpaceDN/>
        <w:bidi w:val="0"/>
        <w:adjustRightInd/>
        <w:snapToGrid/>
        <w:spacing w:after="0" w:line="400" w:lineRule="exact"/>
        <w:ind w:firstLine="7680" w:firstLineChars="3200"/>
        <w:jc w:val="both"/>
        <w:textAlignment w:val="auto"/>
        <w:rPr>
          <w:rFonts w:hint="default" w:ascii="宋体" w:hAnsi="宋体" w:eastAsia="宋体"/>
          <w:sz w:val="24"/>
          <w:lang w:val="en-US" w:eastAsia="zh-CN"/>
        </w:rPr>
      </w:pPr>
      <w:r>
        <w:rPr>
          <w:rFonts w:hint="eastAsia" w:ascii="宋体" w:hAnsi="宋体" w:eastAsia="宋体"/>
          <w:sz w:val="24"/>
          <w:lang w:val="en-US" w:eastAsia="zh-CN"/>
        </w:rPr>
        <w:t>本科生院</w:t>
      </w:r>
    </w:p>
    <w:p w14:paraId="246FC67E">
      <w:pPr>
        <w:keepNext w:val="0"/>
        <w:keepLines w:val="0"/>
        <w:pageBreakBefore w:val="0"/>
        <w:widowControl w:val="0"/>
        <w:kinsoku/>
        <w:wordWrap/>
        <w:overflowPunct/>
        <w:topLinePunct w:val="0"/>
        <w:autoSpaceDE/>
        <w:autoSpaceDN/>
        <w:bidi w:val="0"/>
        <w:adjustRightInd/>
        <w:snapToGrid/>
        <w:spacing w:after="0" w:line="400" w:lineRule="exact"/>
        <w:jc w:val="right"/>
        <w:textAlignment w:val="auto"/>
        <w:rPr>
          <w:rFonts w:hint="eastAsia" w:ascii="宋体" w:hAnsi="宋体" w:eastAsia="宋体"/>
          <w:sz w:val="24"/>
        </w:rPr>
      </w:pPr>
      <w:r>
        <w:rPr>
          <w:rFonts w:hint="eastAsia" w:ascii="宋体" w:hAnsi="宋体" w:eastAsia="宋体"/>
          <w:sz w:val="24"/>
        </w:rPr>
        <w:t>2026年</w:t>
      </w:r>
      <w:r>
        <w:rPr>
          <w:rFonts w:hint="eastAsia" w:ascii="宋体" w:hAnsi="宋体" w:eastAsia="宋体"/>
          <w:sz w:val="24"/>
          <w:lang w:val="en-US" w:eastAsia="zh-CN"/>
        </w:rPr>
        <w:t>10</w:t>
      </w:r>
      <w:r>
        <w:rPr>
          <w:rFonts w:hint="eastAsia" w:ascii="宋体" w:hAnsi="宋体" w:eastAsia="宋体"/>
          <w:sz w:val="24"/>
        </w:rPr>
        <w:t>月</w:t>
      </w:r>
      <w:r>
        <w:rPr>
          <w:rFonts w:hint="eastAsia" w:ascii="宋体" w:hAnsi="宋体" w:eastAsia="宋体"/>
          <w:sz w:val="24"/>
          <w:lang w:val="en-US" w:eastAsia="zh-CN"/>
        </w:rPr>
        <w:t>10</w:t>
      </w:r>
      <w:bookmarkStart w:id="1" w:name="_GoBack"/>
      <w:bookmarkEnd w:id="1"/>
      <w:r>
        <w:rPr>
          <w:rFonts w:hint="eastAsia" w:ascii="宋体" w:hAnsi="宋体" w:eastAsia="宋体"/>
          <w:sz w:val="24"/>
        </w:rPr>
        <w:t>日</w:t>
      </w:r>
    </w:p>
    <w:p w14:paraId="189E496B"/>
    <w:sectPr>
      <w:pgSz w:w="11906" w:h="16838"/>
      <w:pgMar w:top="1440" w:right="1418" w:bottom="1440" w:left="141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B3638D"/>
    <w:multiLevelType w:val="multilevel"/>
    <w:tmpl w:val="7EB3638D"/>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ZjYWRhN2ExZjRkZTQ3NWU2YjkwNGVjMzkwMjk4YmMifQ=="/>
  </w:docVars>
  <w:rsids>
    <w:rsidRoot w:val="62ED784C"/>
    <w:rsid w:val="000073A5"/>
    <w:rsid w:val="00020D95"/>
    <w:rsid w:val="001E5835"/>
    <w:rsid w:val="0020727D"/>
    <w:rsid w:val="00225FDC"/>
    <w:rsid w:val="00236D97"/>
    <w:rsid w:val="00271CDB"/>
    <w:rsid w:val="00294D94"/>
    <w:rsid w:val="002A4675"/>
    <w:rsid w:val="002A6EDC"/>
    <w:rsid w:val="002F0ABC"/>
    <w:rsid w:val="002F527F"/>
    <w:rsid w:val="003213BA"/>
    <w:rsid w:val="00357805"/>
    <w:rsid w:val="003801BB"/>
    <w:rsid w:val="00401E53"/>
    <w:rsid w:val="00436C15"/>
    <w:rsid w:val="00466D79"/>
    <w:rsid w:val="00584311"/>
    <w:rsid w:val="00691358"/>
    <w:rsid w:val="00693C25"/>
    <w:rsid w:val="006E7240"/>
    <w:rsid w:val="00756EFF"/>
    <w:rsid w:val="007E1D79"/>
    <w:rsid w:val="00852C3A"/>
    <w:rsid w:val="00867855"/>
    <w:rsid w:val="008F7A16"/>
    <w:rsid w:val="00980C72"/>
    <w:rsid w:val="00985DC2"/>
    <w:rsid w:val="009A4B5D"/>
    <w:rsid w:val="009D7150"/>
    <w:rsid w:val="00A94721"/>
    <w:rsid w:val="00AC68C0"/>
    <w:rsid w:val="00AD01E3"/>
    <w:rsid w:val="00AF3D5D"/>
    <w:rsid w:val="00B140B4"/>
    <w:rsid w:val="00BB79F6"/>
    <w:rsid w:val="00C441AB"/>
    <w:rsid w:val="00CE74F4"/>
    <w:rsid w:val="00CF4B77"/>
    <w:rsid w:val="00D4407D"/>
    <w:rsid w:val="00D4599F"/>
    <w:rsid w:val="00D51D7D"/>
    <w:rsid w:val="00DE18CB"/>
    <w:rsid w:val="00E5690A"/>
    <w:rsid w:val="00E65EDE"/>
    <w:rsid w:val="00EB5864"/>
    <w:rsid w:val="00ED2552"/>
    <w:rsid w:val="00F672EC"/>
    <w:rsid w:val="00FC1FB6"/>
    <w:rsid w:val="00FC5D9F"/>
    <w:rsid w:val="00FF480C"/>
    <w:rsid w:val="00FF4E80"/>
    <w:rsid w:val="043F1623"/>
    <w:rsid w:val="179C324F"/>
    <w:rsid w:val="1FAA4072"/>
    <w:rsid w:val="32E04890"/>
    <w:rsid w:val="419C2384"/>
    <w:rsid w:val="5F6661A5"/>
    <w:rsid w:val="62ED784C"/>
    <w:rsid w:val="73392F53"/>
    <w:rsid w:val="7ECB0D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qFormat/>
    <w:uiPriority w:val="0"/>
    <w:pPr>
      <w:keepNext/>
      <w:keepLines/>
      <w:spacing w:before="340" w:after="330" w:line="576" w:lineRule="auto"/>
      <w:jc w:val="center"/>
      <w:outlineLvl w:val="0"/>
    </w:pPr>
    <w:rPr>
      <w:b/>
      <w:kern w:val="44"/>
      <w:sz w:val="44"/>
    </w:rPr>
  </w:style>
  <w:style w:type="paragraph" w:styleId="3">
    <w:name w:val="heading 2"/>
    <w:basedOn w:val="1"/>
    <w:next w:val="1"/>
    <w:semiHidden/>
    <w:unhideWhenUsed/>
    <w:qFormat/>
    <w:uiPriority w:val="0"/>
    <w:pPr>
      <w:keepNext/>
      <w:keepLines/>
      <w:spacing w:before="260" w:after="260" w:line="413" w:lineRule="auto"/>
      <w:jc w:val="center"/>
      <w:outlineLvl w:val="1"/>
    </w:pPr>
    <w:rPr>
      <w:rFonts w:ascii="Arial" w:hAnsi="Arial" w:eastAsia="黑体"/>
      <w:b/>
      <w:sz w:val="32"/>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footer"/>
    <w:basedOn w:val="1"/>
    <w:link w:val="12"/>
    <w:qFormat/>
    <w:uiPriority w:val="0"/>
    <w:pPr>
      <w:tabs>
        <w:tab w:val="center" w:pos="4153"/>
        <w:tab w:val="right" w:pos="8306"/>
      </w:tabs>
      <w:snapToGrid w:val="0"/>
      <w:spacing w:line="240" w:lineRule="auto"/>
    </w:pPr>
    <w:rPr>
      <w:sz w:val="18"/>
      <w:szCs w:val="18"/>
    </w:rPr>
  </w:style>
  <w:style w:type="paragraph" w:styleId="5">
    <w:name w:val="header"/>
    <w:basedOn w:val="1"/>
    <w:link w:val="11"/>
    <w:qFormat/>
    <w:uiPriority w:val="0"/>
    <w:pPr>
      <w:tabs>
        <w:tab w:val="center" w:pos="4153"/>
        <w:tab w:val="right" w:pos="8306"/>
      </w:tabs>
      <w:snapToGrid w:val="0"/>
      <w:spacing w:line="240" w:lineRule="auto"/>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bCs/>
    </w:rPr>
  </w:style>
  <w:style w:type="paragraph" w:styleId="10">
    <w:name w:val="List Paragraph"/>
    <w:basedOn w:val="1"/>
    <w:qFormat/>
    <w:uiPriority w:val="34"/>
    <w:pPr>
      <w:ind w:left="720"/>
      <w:contextualSpacing/>
    </w:pPr>
  </w:style>
  <w:style w:type="character" w:customStyle="1" w:styleId="11">
    <w:name w:val="页眉 字符"/>
    <w:basedOn w:val="8"/>
    <w:link w:val="5"/>
    <w:qFormat/>
    <w:uiPriority w:val="0"/>
    <w:rPr>
      <w:rFonts w:asciiTheme="minorHAnsi" w:hAnsiTheme="minorHAnsi" w:eastAsiaTheme="minorEastAsia" w:cstheme="minorBidi"/>
      <w:kern w:val="2"/>
      <w:sz w:val="18"/>
      <w:szCs w:val="18"/>
      <w14:ligatures w14:val="standardContextual"/>
    </w:rPr>
  </w:style>
  <w:style w:type="character" w:customStyle="1" w:styleId="12">
    <w:name w:val="页脚 字符"/>
    <w:basedOn w:val="8"/>
    <w:link w:val="4"/>
    <w:uiPriority w:val="0"/>
    <w:rPr>
      <w:rFonts w:asciiTheme="minorHAnsi" w:hAnsiTheme="minorHAnsi" w:eastAsiaTheme="minorEastAsia" w:cstheme="minorBidi"/>
      <w:kern w:val="2"/>
      <w:sz w:val="18"/>
      <w:szCs w:val="18"/>
      <w14:ligatures w14:val="standardContextu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1682</Words>
  <Characters>1814</Characters>
  <Lines>55</Lines>
  <Paragraphs>63</Paragraphs>
  <TotalTime>0</TotalTime>
  <ScaleCrop>false</ScaleCrop>
  <LinksUpToDate>false</LinksUpToDate>
  <CharactersWithSpaces>1817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2025-02-25T09:44:00Z</dcterms:created>
  <dc:creator>smallcherries</dc:creator>
  <cp:lastModifiedBy>Administrator</cp:lastModifiedBy>
  <cp:lastPrinted>2025-03-12T08:40:00Z</cp:lastPrinted>
  <dcterms:modified xsi:type="dcterms:W3CDTF">2026-10-15T02:29:52Z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75E6EF623CD44268A0F67B72517109CE_11</vt:lpwstr>
  </property>
  <property fmtid="{D5CDD505-2E9C-101B-9397-08002B2CF9AE}" pid="4" name="KSOTemplateDocerSaveRecord">
    <vt:lpwstr>eyJoZGlkIjoiNzdjYzk2NWQ5Yjk3N2M3NmUwNTFlY2MxMTEwODE4M2UiLCJ1c2VySWQiOiIxNDc5NTE5NDcxIn0=</vt:lpwstr>
  </property>
</Properties>
</file>