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440" w:lineRule="atLeast"/>
        <w:jc w:val="center"/>
        <w:textAlignment w:val="auto"/>
        <w:rPr>
          <w:rFonts w:hint="eastAsia" w:ascii="宋体" w:hAnsi="宋体" w:eastAsia="宋体" w:cs="宋体"/>
          <w:b/>
          <w:bCs/>
          <w:color w:val="auto"/>
          <w:kern w:val="0"/>
          <w:sz w:val="30"/>
          <w:lang w:val="en-US" w:eastAsia="zh-CN"/>
        </w:rPr>
      </w:pPr>
      <w:r>
        <w:rPr>
          <w:rFonts w:hint="eastAsia" w:ascii="宋体" w:hAnsi="宋体" w:eastAsia="宋体" w:cs="宋体"/>
          <w:b/>
          <w:bCs/>
          <w:color w:val="auto"/>
          <w:kern w:val="0"/>
          <w:sz w:val="30"/>
          <w:lang w:eastAsia="zh-CN"/>
        </w:rPr>
        <w:t>202</w:t>
      </w:r>
      <w:r>
        <w:rPr>
          <w:rFonts w:hint="eastAsia" w:ascii="宋体" w:hAnsi="宋体" w:eastAsia="宋体" w:cs="宋体"/>
          <w:b/>
          <w:bCs/>
          <w:color w:val="auto"/>
          <w:kern w:val="0"/>
          <w:sz w:val="30"/>
          <w:lang w:val="en-US" w:eastAsia="zh-CN"/>
        </w:rPr>
        <w:t>4</w:t>
      </w:r>
      <w:r>
        <w:rPr>
          <w:rFonts w:hint="eastAsia" w:ascii="宋体" w:hAnsi="宋体" w:eastAsia="宋体" w:cs="宋体"/>
          <w:b/>
          <w:bCs/>
          <w:color w:val="auto"/>
          <w:kern w:val="0"/>
          <w:sz w:val="30"/>
        </w:rPr>
        <w:t>年德州大学奥斯汀分校</w:t>
      </w:r>
      <w:r>
        <w:rPr>
          <w:rFonts w:hint="eastAsia" w:ascii="宋体" w:hAnsi="宋体" w:eastAsia="宋体" w:cs="宋体"/>
          <w:b/>
          <w:bCs/>
          <w:color w:val="auto"/>
          <w:kern w:val="0"/>
          <w:sz w:val="30"/>
          <w:lang w:val="en-US" w:eastAsia="zh-CN"/>
        </w:rPr>
        <w:t>暑假</w:t>
      </w:r>
      <w:r>
        <w:rPr>
          <w:rFonts w:hint="eastAsia" w:ascii="宋体" w:hAnsi="宋体" w:eastAsia="宋体" w:cs="宋体"/>
          <w:b/>
          <w:bCs/>
          <w:color w:val="auto"/>
          <w:kern w:val="0"/>
          <w:sz w:val="30"/>
          <w:lang w:eastAsia="zh-CN"/>
        </w:rPr>
        <w:t>国际学术</w:t>
      </w:r>
      <w:r>
        <w:rPr>
          <w:rFonts w:hint="eastAsia" w:ascii="宋体" w:hAnsi="宋体" w:eastAsia="宋体" w:cs="宋体"/>
          <w:b/>
          <w:bCs/>
          <w:color w:val="auto"/>
          <w:kern w:val="0"/>
          <w:sz w:val="30"/>
        </w:rPr>
        <w:t>课程报名</w:t>
      </w:r>
      <w:r>
        <w:rPr>
          <w:rFonts w:hint="eastAsia" w:ascii="宋体" w:hAnsi="宋体" w:eastAsia="宋体" w:cs="宋体"/>
          <w:b/>
          <w:bCs/>
          <w:color w:val="auto"/>
          <w:kern w:val="0"/>
          <w:sz w:val="30"/>
          <w:lang w:val="en-US" w:eastAsia="zh-CN"/>
        </w:rPr>
        <w:t>启动</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美国德州大学奥斯汀分校</w:t>
      </w:r>
      <w:r>
        <w:rPr>
          <w:rFonts w:hint="eastAsia" w:ascii="宋体" w:hAnsi="宋体" w:eastAsia="宋体" w:cs="宋体"/>
          <w:kern w:val="0"/>
          <w:sz w:val="24"/>
          <w:szCs w:val="24"/>
          <w:lang w:eastAsia="zh-CN"/>
        </w:rPr>
        <w:t>（简称奥斯汀分校</w:t>
      </w:r>
      <w:r>
        <w:rPr>
          <w:rFonts w:hint="eastAsia" w:ascii="宋体" w:hAnsi="宋体" w:eastAsia="宋体" w:cs="宋体"/>
          <w:kern w:val="0"/>
          <w:sz w:val="24"/>
          <w:szCs w:val="24"/>
          <w:lang w:val="en-US" w:eastAsia="zh-CN"/>
        </w:rPr>
        <w:t>或UT</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是一所世界排名前五十左右的美国顶级高校，也是我校的重点合作高校。</w:t>
      </w:r>
      <w:r>
        <w:rPr>
          <w:rFonts w:hint="eastAsia" w:ascii="宋体" w:hAnsi="宋体" w:eastAsia="宋体" w:cs="宋体"/>
          <w:kern w:val="0"/>
          <w:sz w:val="24"/>
          <w:szCs w:val="24"/>
        </w:rPr>
        <w:t>根据我校与奥斯汀分校</w:t>
      </w:r>
      <w:r>
        <w:rPr>
          <w:rFonts w:hint="eastAsia" w:ascii="宋体" w:hAnsi="宋体" w:eastAsia="宋体" w:cs="宋体"/>
          <w:kern w:val="0"/>
          <w:sz w:val="24"/>
          <w:szCs w:val="24"/>
          <w:lang w:val="en-US" w:eastAsia="zh-CN"/>
        </w:rPr>
        <w:t>合作交流协议</w:t>
      </w:r>
      <w:r>
        <w:rPr>
          <w:rFonts w:hint="eastAsia" w:ascii="宋体" w:hAnsi="宋体" w:eastAsia="宋体" w:cs="宋体"/>
          <w:kern w:val="0"/>
          <w:sz w:val="24"/>
          <w:szCs w:val="24"/>
        </w:rPr>
        <w:t>，现拟选派</w:t>
      </w:r>
      <w:r>
        <w:rPr>
          <w:rFonts w:hint="eastAsia" w:ascii="宋体" w:hAnsi="宋体" w:eastAsia="宋体" w:cs="宋体"/>
          <w:kern w:val="0"/>
          <w:sz w:val="24"/>
          <w:szCs w:val="24"/>
          <w:lang w:eastAsia="zh-CN"/>
        </w:rPr>
        <w:t>学生</w:t>
      </w:r>
      <w:r>
        <w:rPr>
          <w:rFonts w:hint="eastAsia" w:ascii="宋体" w:hAnsi="宋体" w:eastAsia="宋体" w:cs="宋体"/>
          <w:kern w:val="0"/>
          <w:sz w:val="24"/>
          <w:szCs w:val="24"/>
        </w:rPr>
        <w:t>于</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暑假</w:t>
      </w:r>
      <w:r>
        <w:rPr>
          <w:rFonts w:hint="eastAsia" w:ascii="宋体" w:hAnsi="宋体" w:eastAsia="宋体" w:cs="宋体"/>
          <w:kern w:val="0"/>
          <w:sz w:val="24"/>
          <w:szCs w:val="24"/>
          <w:lang w:eastAsia="zh-CN"/>
        </w:rPr>
        <w:t>期间参加</w:t>
      </w:r>
      <w:r>
        <w:rPr>
          <w:rFonts w:hint="eastAsia" w:ascii="宋体" w:hAnsi="宋体" w:eastAsia="宋体" w:cs="宋体"/>
          <w:sz w:val="24"/>
          <w:szCs w:val="24"/>
        </w:rPr>
        <w:t>国际学术</w:t>
      </w:r>
      <w:r>
        <w:rPr>
          <w:rFonts w:hint="eastAsia" w:ascii="宋体" w:hAnsi="宋体" w:eastAsia="宋体" w:cs="宋体"/>
          <w:kern w:val="0"/>
          <w:sz w:val="24"/>
          <w:szCs w:val="24"/>
          <w:lang w:eastAsia="zh-CN"/>
        </w:rPr>
        <w:t>课程项目，让学生可以利用</w:t>
      </w:r>
      <w:r>
        <w:rPr>
          <w:rFonts w:hint="eastAsia" w:ascii="宋体" w:hAnsi="宋体" w:eastAsia="宋体" w:cs="宋体"/>
          <w:kern w:val="0"/>
          <w:sz w:val="24"/>
          <w:szCs w:val="24"/>
          <w:lang w:val="en-US" w:eastAsia="zh-CN"/>
        </w:rPr>
        <w:t>假期</w:t>
      </w:r>
      <w:r>
        <w:rPr>
          <w:rFonts w:hint="eastAsia" w:ascii="宋体" w:hAnsi="宋体" w:eastAsia="宋体" w:cs="宋体"/>
          <w:kern w:val="0"/>
          <w:sz w:val="24"/>
          <w:szCs w:val="24"/>
          <w:lang w:val="en-CA" w:eastAsia="zh-CN"/>
        </w:rPr>
        <w:t>深度探索</w:t>
      </w:r>
      <w:r>
        <w:rPr>
          <w:rFonts w:hint="eastAsia" w:ascii="宋体" w:hAnsi="宋体" w:eastAsia="宋体" w:cs="宋体"/>
          <w:kern w:val="0"/>
          <w:sz w:val="24"/>
          <w:szCs w:val="24"/>
          <w:lang w:val="en-US" w:eastAsia="zh-CN"/>
        </w:rPr>
        <w:t>学科</w:t>
      </w:r>
      <w:r>
        <w:rPr>
          <w:rFonts w:hint="eastAsia" w:ascii="宋体" w:hAnsi="宋体" w:eastAsia="宋体" w:cs="宋体"/>
          <w:kern w:val="0"/>
          <w:sz w:val="24"/>
          <w:szCs w:val="24"/>
          <w:lang w:val="en-CA" w:eastAsia="zh-CN"/>
        </w:rPr>
        <w:t>前沿的研究领域知识、</w:t>
      </w:r>
      <w:r>
        <w:rPr>
          <w:rFonts w:hint="eastAsia" w:ascii="宋体" w:hAnsi="宋体" w:eastAsia="宋体" w:cs="宋体"/>
          <w:kern w:val="0"/>
          <w:sz w:val="24"/>
          <w:szCs w:val="24"/>
          <w:lang w:eastAsia="zh-CN"/>
        </w:rPr>
        <w:t>适应美国顶级高校教学风格、</w:t>
      </w:r>
      <w:r>
        <w:rPr>
          <w:rFonts w:hint="eastAsia" w:ascii="宋体" w:hAnsi="宋体" w:eastAsia="宋体" w:cs="宋体"/>
          <w:kern w:val="0"/>
          <w:sz w:val="24"/>
          <w:szCs w:val="24"/>
          <w:lang w:val="en-US" w:eastAsia="zh-CN"/>
        </w:rPr>
        <w:t>同时</w:t>
      </w:r>
      <w:r>
        <w:rPr>
          <w:rFonts w:hint="eastAsia" w:ascii="宋体" w:hAnsi="宋体" w:eastAsia="宋体" w:cs="宋体"/>
          <w:kern w:val="0"/>
          <w:sz w:val="24"/>
          <w:szCs w:val="24"/>
          <w:lang w:eastAsia="zh-CN"/>
        </w:rPr>
        <w:t>感受美国的文化和学术氛围。</w:t>
      </w:r>
      <w:r>
        <w:rPr>
          <w:rFonts w:hint="eastAsia" w:ascii="宋体" w:hAnsi="宋体" w:eastAsia="宋体" w:cs="宋体"/>
          <w:kern w:val="0"/>
          <w:sz w:val="24"/>
          <w:szCs w:val="24"/>
        </w:rPr>
        <w:t>现启动申请工作。</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奥斯汀</w:t>
      </w:r>
      <w:r>
        <w:rPr>
          <w:rFonts w:hint="eastAsia" w:ascii="宋体" w:hAnsi="宋体" w:eastAsia="宋体" w:cs="宋体"/>
          <w:b/>
          <w:bCs/>
          <w:kern w:val="0"/>
          <w:sz w:val="24"/>
          <w:szCs w:val="24"/>
        </w:rPr>
        <w:t>分校简介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德州奥斯汀分校成立于1883年，位于德克萨斯州奥斯汀市，美国最负盛名的“公立常青藤（Public Ivy）院校之一。在最新U.S.NEWS &amp; World Report 2024年美国大学综合排名中名列32位，全美公立大学第9位，QS 2024年世界大学排名第58位。UT共有13位诺贝尔奖、2位图灵奖、18位普利策新闻奖得主、35位美国国家科学院院士、52位美国艺术与科学院院士，以及57位美国国家工程院院士。UT是一所公立研究型大学，也是德州大学系统中的旗舰王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UT Austin不但拥有美国和世界大学排名的优势，更突出的是在美国大学专业排名上，UT共有19个学院，提供156个本科学位课程和237个研究生专业学位课程。其中15个本科专业排名全美前10，49个研究生专业领域排名全美前10，其中会计、石油工程、地质学、拉丁美洲历史、人口社会学全美第1，具体专业排名可参阅网址：</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"https://news.utexas.edu/2018/03/20/ut-austin-has-49-top-10-grad-programs-in-u-s-news-ranking/" </w:instrText>
      </w:r>
      <w:r>
        <w:rPr>
          <w:rFonts w:hint="default" w:ascii="Times New Roman" w:hAnsi="Times New Roman" w:eastAsia="宋体" w:cs="Times New Roman"/>
          <w:sz w:val="24"/>
          <w:szCs w:val="24"/>
        </w:rPr>
        <w:fldChar w:fldCharType="separate"/>
      </w:r>
      <w:r>
        <w:rPr>
          <w:rStyle w:val="6"/>
          <w:rFonts w:hint="default" w:ascii="Times New Roman" w:hAnsi="Times New Roman" w:eastAsia="宋体" w:cs="Times New Roman"/>
          <w:sz w:val="24"/>
          <w:szCs w:val="24"/>
        </w:rPr>
        <w:t>https://news.utexas.edu/2018/03/20/ut-austin-has-49-top-10-grad-programs-in-u-s-news-ranking/</w:t>
      </w:r>
      <w:r>
        <w:rPr>
          <w:rFonts w:hint="default" w:ascii="Times New Roman" w:hAnsi="Times New Roman" w:eastAsia="宋体" w:cs="Times New Roman"/>
          <w:sz w:val="24"/>
          <w:szCs w:val="24"/>
        </w:rPr>
        <w:fldChar w:fldCharType="end"/>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二、项目简介</w:t>
      </w:r>
    </w:p>
    <w:p>
      <w:pPr>
        <w:pStyle w:val="7"/>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国际学术课程 (Global Summer Institute) 是德州大学奥斯汀分校每年为来自全世界大学生及研究生定制的寒暑期学术专业课程。2024年，The International Academy Program暑期课程将有3个语言课程+18个学术专业课程可供选择：</w:t>
      </w:r>
    </w:p>
    <w:p>
      <w:pPr>
        <w:pStyle w:val="7"/>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学生必须报读共三门课程，至少有一门是英语课。另外2门可以是下面18个学术专业中选择2门，也可以选择3门英语课中的另外2门。选课示例：</w:t>
      </w:r>
    </w:p>
    <w:p>
      <w:pPr>
        <w:pStyle w:val="7"/>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1门英语课+2门专业课</w:t>
      </w:r>
    </w:p>
    <w:p>
      <w:pPr>
        <w:pStyle w:val="7"/>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2门英语课+1门专业课</w:t>
      </w:r>
    </w:p>
    <w:p>
      <w:pPr>
        <w:pStyle w:val="7"/>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3门英语课</w:t>
      </w:r>
    </w:p>
    <w:tbl>
      <w:tblPr>
        <w:tblStyle w:val="4"/>
        <w:tblpPr w:leftFromText="180" w:rightFromText="180" w:vertAnchor="text" w:horzAnchor="page" w:tblpX="1180" w:tblpY="63"/>
        <w:tblOverlap w:val="never"/>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noWrap w:val="0"/>
            <w:vAlign w:val="top"/>
          </w:tcPr>
          <w:p>
            <w:pPr>
              <w:ind w:right="-158" w:rightChars="-75"/>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b/>
                <w:bCs/>
                <w:kern w:val="0"/>
                <w:sz w:val="20"/>
                <w:szCs w:val="20"/>
                <w:lang w:val="en-US" w:eastAsia="zh-CN" w:bidi="ar-SA"/>
              </w:rPr>
              <w:t>专业方向</w:t>
            </w:r>
          </w:p>
        </w:tc>
        <w:tc>
          <w:tcPr>
            <w:tcW w:w="7536" w:type="dxa"/>
            <w:noWrap w:val="0"/>
            <w:vAlign w:val="top"/>
          </w:tcPr>
          <w:p>
            <w:pPr>
              <w:widowControl w:val="0"/>
              <w:numPr>
                <w:ilvl w:val="0"/>
                <w:numId w:val="0"/>
              </w:numPr>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b/>
                <w:bCs/>
                <w:kern w:val="0"/>
                <w:sz w:val="20"/>
                <w:szCs w:val="20"/>
                <w:lang w:val="en-US" w:eastAsia="zh-CN" w:bidi="ar-SA"/>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1" w:type="dxa"/>
            <w:gridSpan w:val="2"/>
            <w:noWrap w:val="0"/>
            <w:vAlign w:val="top"/>
          </w:tcPr>
          <w:p>
            <w:pPr>
              <w:jc w:val="cente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b/>
                <w:bCs/>
                <w:kern w:val="0"/>
                <w:sz w:val="20"/>
                <w:szCs w:val="20"/>
                <w:highlight w:val="yellow"/>
                <w:lang w:val="en-US" w:eastAsia="zh-CN" w:bidi="ar-SA"/>
              </w:rPr>
              <w:t>必选一门英语课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restart"/>
            <w:noWrap w:val="0"/>
            <w:vAlign w:val="top"/>
          </w:tcPr>
          <w:p>
            <w:pPr>
              <w:ind w:right="-158" w:rightChars="-75"/>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English Language   (Intermediate and Advanced) 英语(中高级)</w:t>
            </w:r>
          </w:p>
        </w:tc>
        <w:tc>
          <w:tcPr>
            <w:tcW w:w="7536" w:type="dxa"/>
            <w:noWrap w:val="0"/>
            <w:vAlign w:val="top"/>
          </w:tcPr>
          <w:p>
            <w:pPr>
              <w:keepNext w:val="0"/>
              <w:keepLines w:val="0"/>
              <w:widowControl/>
              <w:numPr>
                <w:ilvl w:val="0"/>
                <w:numId w:val="1"/>
              </w:numPr>
              <w:suppressLineNumbers w:val="0"/>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 xml:space="preserve">Academic Writing </w:t>
            </w:r>
            <w:r>
              <w:rPr>
                <w:rFonts w:hint="eastAsia" w:ascii="Times New Roman" w:hAnsi="Times New Roman" w:eastAsia="宋体" w:cs="Times New Roman"/>
                <w:kern w:val="0"/>
                <w:sz w:val="20"/>
                <w:szCs w:val="20"/>
                <w:lang w:val="en-US" w:eastAsia="zh-CN" w:bidi="ar-SA"/>
              </w:rPr>
              <w:t>学术写作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ind w:right="-158" w:rightChars="-75"/>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keepNext w:val="0"/>
              <w:keepLines w:val="0"/>
              <w:widowControl/>
              <w:numPr>
                <w:ilvl w:val="0"/>
                <w:numId w:val="1"/>
              </w:numPr>
              <w:suppressLineNumbers w:val="0"/>
              <w:ind w:left="0" w:leftChars="0" w:firstLine="0" w:firstLineChars="0"/>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Oral Communication 口头交流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ind w:right="-158" w:rightChars="-75"/>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keepNext w:val="0"/>
              <w:keepLines w:val="0"/>
              <w:widowControl/>
              <w:numPr>
                <w:ilvl w:val="0"/>
                <w:numId w:val="1"/>
              </w:numPr>
              <w:suppressLineNumbers w:val="0"/>
              <w:ind w:left="0" w:leftChars="0" w:firstLine="0" w:firstLineChars="0"/>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 xml:space="preserve">Reading, Note-taking, and </w:t>
            </w:r>
            <w:r>
              <w:rPr>
                <w:rFonts w:hint="default" w:ascii="Times New Roman" w:hAnsi="Times New Roman" w:eastAsia="宋体" w:cs="Times New Roman"/>
                <w:kern w:val="0"/>
                <w:sz w:val="20"/>
                <w:szCs w:val="20"/>
                <w:lang w:val="en-US" w:eastAsia="zh-CN" w:bidi="ar-SA"/>
              </w:rPr>
              <w:t xml:space="preserve">Vocabulary Development </w:t>
            </w:r>
            <w:r>
              <w:rPr>
                <w:rFonts w:hint="eastAsia" w:ascii="Times New Roman" w:hAnsi="Times New Roman" w:eastAsia="宋体" w:cs="Times New Roman"/>
                <w:kern w:val="0"/>
                <w:sz w:val="20"/>
                <w:szCs w:val="20"/>
                <w:lang w:val="en-US" w:eastAsia="zh-CN" w:bidi="ar-SA"/>
              </w:rPr>
              <w:t>阅读，做笔记，和词汇拓展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1" w:type="dxa"/>
            <w:gridSpan w:val="2"/>
            <w:noWrap w:val="0"/>
            <w:vAlign w:val="top"/>
          </w:tcPr>
          <w:p>
            <w:pPr>
              <w:jc w:val="cente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b/>
                <w:bCs/>
                <w:kern w:val="0"/>
                <w:sz w:val="20"/>
                <w:szCs w:val="20"/>
                <w:highlight w:val="yellow"/>
                <w:lang w:val="en-US" w:eastAsia="zh-CN" w:bidi="ar-SA"/>
              </w:rPr>
              <w:t>任选两门专业课（可跨专业）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restart"/>
            <w:noWrap w:val="0"/>
            <w:vAlign w:val="top"/>
          </w:tcPr>
          <w:p>
            <w:pPr>
              <w:keepNext w:val="0"/>
              <w:keepLines w:val="0"/>
              <w:pageBreakBefore w:val="0"/>
              <w:widowControl w:val="0"/>
              <w:tabs>
                <w:tab w:val="left" w:pos="2730"/>
              </w:tabs>
              <w:kinsoku/>
              <w:wordWrap w:val="0"/>
              <w:overflowPunct/>
              <w:topLinePunct w:val="0"/>
              <w:autoSpaceDE/>
              <w:autoSpaceDN/>
              <w:bidi w:val="0"/>
              <w:adjustRightInd/>
              <w:snapToGrid/>
              <w:ind w:right="162" w:rightChars="77"/>
              <w:jc w:val="left"/>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Business &amp; Accounting商务&amp;会计</w:t>
            </w:r>
          </w:p>
          <w:p>
            <w:pPr>
              <w:ind w:right="-158" w:rightChars="-75"/>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numPr>
                <w:ilvl w:val="0"/>
                <w:numId w:val="2"/>
              </w:numPr>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Business Negotiation</w:t>
            </w:r>
            <w:r>
              <w:rPr>
                <w:rFonts w:hint="eastAsia" w:ascii="Times New Roman" w:hAnsi="Times New Roman" w:eastAsia="宋体" w:cs="Times New Roman"/>
                <w:kern w:val="0"/>
                <w:sz w:val="20"/>
                <w:szCs w:val="20"/>
                <w:lang w:val="en-US" w:eastAsia="zh-CN" w:bidi="ar-SA"/>
              </w:rPr>
              <w:t>商务谈判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numPr>
                <w:ilvl w:val="0"/>
                <w:numId w:val="2"/>
              </w:numPr>
              <w:ind w:left="0" w:leftChars="0" w:firstLine="0" w:firstLineChars="0"/>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Principles of Finance金融学概论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numPr>
                <w:ilvl w:val="0"/>
                <w:numId w:val="2"/>
              </w:numPr>
              <w:ind w:left="0" w:leftChars="0" w:firstLine="0" w:firstLineChars="0"/>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Introduction to Accounting</w:t>
            </w:r>
            <w:r>
              <w:rPr>
                <w:rFonts w:hint="eastAsia" w:ascii="Times New Roman" w:hAnsi="Times New Roman" w:eastAsia="宋体" w:cs="Times New Roman"/>
                <w:kern w:val="0"/>
                <w:sz w:val="20"/>
                <w:szCs w:val="20"/>
                <w:lang w:val="en-US" w:eastAsia="zh-CN" w:bidi="ar-SA"/>
              </w:rPr>
              <w:t>会计学概论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restart"/>
            <w:noWrap w:val="0"/>
            <w:vAlign w:val="top"/>
          </w:tcPr>
          <w:p>
            <w:pPr>
              <w:widowControl w:val="0"/>
              <w:numPr>
                <w:ilvl w:val="0"/>
                <w:numId w:val="0"/>
              </w:numPr>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 xml:space="preserve">Computer science </w:t>
            </w:r>
          </w:p>
          <w:p>
            <w:pPr>
              <w:widowControl w:val="0"/>
              <w:numPr>
                <w:ilvl w:val="0"/>
                <w:numId w:val="0"/>
              </w:numPr>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计算机科学</w:t>
            </w:r>
          </w:p>
        </w:tc>
        <w:tc>
          <w:tcPr>
            <w:tcW w:w="7536" w:type="dxa"/>
            <w:noWrap w:val="0"/>
            <w:vAlign w:val="top"/>
          </w:tcPr>
          <w:p>
            <w:pPr>
              <w:numPr>
                <w:ilvl w:val="0"/>
                <w:numId w:val="2"/>
              </w:numPr>
              <w:ind w:left="0" w:leftChars="0" w:firstLine="0" w:firstLineChars="0"/>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Introduction to Big Data &amp; Data Mining (prerequisite: basic Python programming</w:t>
            </w:r>
          </w:p>
          <w:p>
            <w:pPr>
              <w:widowControl w:val="0"/>
              <w:numPr>
                <w:ilvl w:val="0"/>
                <w:numId w:val="0"/>
              </w:numPr>
              <w:jc w:val="both"/>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大数据和数据挖掘概论（先修课程要求：有基础的python编程经验）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widowControl w:val="0"/>
              <w:numPr>
                <w:ilvl w:val="0"/>
                <w:numId w:val="2"/>
              </w:numPr>
              <w:ind w:left="0" w:leftChars="0" w:firstLine="0" w:firstLineChars="0"/>
              <w:jc w:val="both"/>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Introduction to Deep Learning* (prerequisite: basic Python programming)</w:t>
            </w:r>
            <w:r>
              <w:rPr>
                <w:rFonts w:hint="eastAsia" w:ascii="Times New Roman" w:hAnsi="Times New Roman" w:eastAsia="宋体" w:cs="Times New Roman"/>
                <w:kern w:val="0"/>
                <w:sz w:val="20"/>
                <w:szCs w:val="20"/>
                <w:lang w:val="en-US" w:eastAsia="zh-CN" w:bidi="ar-SA"/>
              </w:rPr>
              <w:t>数据结构深度学习概论（先修课程要求：有基础的python编程经验）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numPr>
                <w:ilvl w:val="0"/>
                <w:numId w:val="2"/>
              </w:numPr>
              <w:ind w:left="0" w:leftChars="0" w:firstLine="0" w:firstLineChars="0"/>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Java Programmin</w:t>
            </w:r>
            <w:r>
              <w:rPr>
                <w:rFonts w:hint="eastAsia" w:ascii="Times New Roman" w:hAnsi="Times New Roman" w:eastAsia="宋体" w:cs="Times New Roman"/>
                <w:kern w:val="0"/>
                <w:sz w:val="20"/>
                <w:szCs w:val="20"/>
                <w:lang w:val="en-US" w:eastAsia="zh-CN" w:bidi="ar-SA"/>
              </w:rPr>
              <w:t>g  Java编程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numPr>
                <w:ilvl w:val="0"/>
                <w:numId w:val="2"/>
              </w:numPr>
              <w:ind w:left="0" w:leftChars="0" w:firstLine="0" w:firstLineChars="0"/>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Python Programming</w:t>
            </w:r>
            <w:r>
              <w:rPr>
                <w:rFonts w:hint="eastAsia" w:ascii="Times New Roman" w:hAnsi="Times New Roman" w:eastAsia="宋体" w:cs="Times New Roman"/>
                <w:kern w:val="0"/>
                <w:sz w:val="20"/>
                <w:szCs w:val="20"/>
                <w:lang w:val="en-US" w:eastAsia="zh-CN" w:bidi="ar-SA"/>
              </w:rPr>
              <w:t xml:space="preserve">  Python编程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restart"/>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Engineering工程</w:t>
            </w:r>
          </w:p>
        </w:tc>
        <w:tc>
          <w:tcPr>
            <w:tcW w:w="7536" w:type="dxa"/>
            <w:noWrap w:val="0"/>
            <w:vAlign w:val="top"/>
          </w:tcPr>
          <w:p>
            <w:pPr>
              <w:widowControl w:val="0"/>
              <w:numPr>
                <w:ilvl w:val="0"/>
                <w:numId w:val="2"/>
              </w:numPr>
              <w:ind w:left="0" w:leftChars="0" w:firstLine="0" w:firstLineChars="0"/>
              <w:jc w:val="both"/>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Engineering Design 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widowControl w:val="0"/>
              <w:numPr>
                <w:ilvl w:val="0"/>
                <w:numId w:val="2"/>
              </w:numPr>
              <w:ind w:left="0" w:leftChars="0" w:firstLine="0" w:firstLineChars="0"/>
              <w:jc w:val="both"/>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Engineering Physics 工程物理学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numPr>
                <w:ilvl w:val="0"/>
                <w:numId w:val="2"/>
              </w:numPr>
              <w:ind w:left="0" w:leftChars="0" w:firstLine="0" w:firstLineChars="0"/>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Quality Management 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restart"/>
            <w:noWrap w:val="0"/>
            <w:vAlign w:val="top"/>
          </w:tcPr>
          <w:p>
            <w:pPr>
              <w:widowControl w:val="0"/>
              <w:numPr>
                <w:ilvl w:val="0"/>
                <w:numId w:val="0"/>
              </w:numPr>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 xml:space="preserve">Social Science &amp; Humanities </w:t>
            </w:r>
          </w:p>
          <w:p>
            <w:pPr>
              <w:widowControl w:val="0"/>
              <w:numPr>
                <w:ilvl w:val="0"/>
                <w:numId w:val="0"/>
              </w:numPr>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社会科学与人文科学</w:t>
            </w:r>
          </w:p>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widowControl w:val="0"/>
              <w:numPr>
                <w:ilvl w:val="0"/>
                <w:numId w:val="2"/>
              </w:numPr>
              <w:ind w:left="0" w:leftChars="0" w:firstLine="0" w:firstLineChars="0"/>
              <w:jc w:val="both"/>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Contemporary International Politics* 当代国际政治*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widowControl w:val="0"/>
              <w:numPr>
                <w:ilvl w:val="0"/>
                <w:numId w:val="2"/>
              </w:numPr>
              <w:ind w:left="0" w:leftChars="0" w:firstLine="0" w:firstLineChars="0"/>
              <w:jc w:val="both"/>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Digital Empathy and Impact* 数字化共情和影响力*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widowControl w:val="0"/>
              <w:numPr>
                <w:ilvl w:val="0"/>
                <w:numId w:val="2"/>
              </w:numPr>
              <w:ind w:left="0" w:leftChars="0" w:firstLine="0" w:firstLineChars="0"/>
              <w:jc w:val="both"/>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Economic and Political Trends in Latin America* 拉丁美洲的经济和政治趋势*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numPr>
                <w:ilvl w:val="0"/>
                <w:numId w:val="2"/>
              </w:numPr>
              <w:ind w:left="0" w:leftChars="0" w:firstLine="0" w:firstLineChars="0"/>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 xml:space="preserve">Cognition and Human </w:t>
            </w:r>
            <w:r>
              <w:rPr>
                <w:rFonts w:hint="default" w:ascii="Times New Roman" w:hAnsi="Times New Roman" w:eastAsia="宋体" w:cs="Times New Roman"/>
                <w:kern w:val="0"/>
                <w:sz w:val="20"/>
                <w:szCs w:val="20"/>
                <w:lang w:val="en-US" w:eastAsia="zh-CN" w:bidi="ar-SA"/>
              </w:rPr>
              <w:t xml:space="preserve">Learning </w:t>
            </w:r>
            <w:r>
              <w:rPr>
                <w:rFonts w:hint="eastAsia" w:ascii="Times New Roman" w:hAnsi="Times New Roman" w:eastAsia="宋体" w:cs="Times New Roman"/>
                <w:kern w:val="0"/>
                <w:sz w:val="20"/>
                <w:szCs w:val="20"/>
                <w:lang w:val="en-US" w:eastAsia="zh-CN" w:bidi="ar-SA"/>
              </w:rPr>
              <w:t>认知与人类学习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numPr>
                <w:ilvl w:val="0"/>
                <w:numId w:val="2"/>
              </w:numPr>
              <w:ind w:left="0" w:leftChars="0" w:firstLine="0" w:firstLineChars="0"/>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*Marketing Fundamentals* 市场营销基本原理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keepNext w:val="0"/>
              <w:keepLines w:val="0"/>
              <w:widowControl/>
              <w:numPr>
                <w:ilvl w:val="0"/>
                <w:numId w:val="2"/>
              </w:numPr>
              <w:suppressLineNumbers w:val="0"/>
              <w:ind w:left="0" w:leftChars="0" w:firstLine="0" w:firstLineChars="0"/>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 xml:space="preserve">Introduction to Advertising </w:t>
            </w:r>
            <w:r>
              <w:rPr>
                <w:rFonts w:hint="eastAsia" w:ascii="Times New Roman" w:hAnsi="Times New Roman" w:eastAsia="宋体" w:cs="Times New Roman"/>
                <w:kern w:val="0"/>
                <w:sz w:val="20"/>
                <w:szCs w:val="20"/>
                <w:lang w:val="en-US" w:eastAsia="zh-CN" w:bidi="ar-SA"/>
              </w:rPr>
              <w:t>广告概论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vMerge w:val="continue"/>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p>
        </w:tc>
        <w:tc>
          <w:tcPr>
            <w:tcW w:w="7536" w:type="dxa"/>
            <w:noWrap w:val="0"/>
            <w:vAlign w:val="top"/>
          </w:tcPr>
          <w:p>
            <w:pPr>
              <w:keepNext w:val="0"/>
              <w:keepLines w:val="0"/>
              <w:widowControl/>
              <w:numPr>
                <w:ilvl w:val="0"/>
                <w:numId w:val="2"/>
              </w:numPr>
              <w:suppressLineNumbers w:val="0"/>
              <w:ind w:left="0" w:leftChars="0" w:firstLine="0" w:firstLineChars="0"/>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 xml:space="preserve">Western Culture and </w:t>
            </w:r>
            <w:r>
              <w:rPr>
                <w:rFonts w:hint="default" w:ascii="Times New Roman" w:hAnsi="Times New Roman" w:eastAsia="宋体" w:cs="Times New Roman"/>
                <w:kern w:val="0"/>
                <w:sz w:val="20"/>
                <w:szCs w:val="20"/>
                <w:lang w:val="en-US" w:eastAsia="zh-CN" w:bidi="ar-SA"/>
              </w:rPr>
              <w:t>Communication Strategies</w:t>
            </w:r>
            <w:r>
              <w:rPr>
                <w:rFonts w:hint="eastAsia" w:ascii="Times New Roman" w:hAnsi="Times New Roman" w:eastAsia="宋体" w:cs="Times New Roman"/>
                <w:kern w:val="0"/>
                <w:sz w:val="20"/>
                <w:szCs w:val="20"/>
                <w:lang w:val="en-US" w:eastAsia="zh-CN" w:bidi="ar-SA"/>
              </w:rPr>
              <w:t>西方文化与传播策略</w:t>
            </w:r>
            <w:r>
              <w:rPr>
                <w:rFonts w:hint="default" w:ascii="Times New Roman" w:hAnsi="Times New Roman" w:eastAsia="宋体" w:cs="Times New Roman"/>
                <w:kern w:val="0"/>
                <w:sz w:val="20"/>
                <w:szCs w:val="20"/>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35" w:type="dxa"/>
            <w:noWrap w:val="0"/>
            <w:vAlign w:val="top"/>
          </w:tcPr>
          <w:p>
            <w:pPr>
              <w:widowControl w:val="0"/>
              <w:numPr>
                <w:ilvl w:val="0"/>
                <w:numId w:val="0"/>
              </w:numPr>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Public Health 公共卫生</w:t>
            </w:r>
          </w:p>
        </w:tc>
        <w:tc>
          <w:tcPr>
            <w:tcW w:w="7536" w:type="dxa"/>
            <w:noWrap w:val="0"/>
            <w:vAlign w:val="top"/>
          </w:tcPr>
          <w:p>
            <w:pPr>
              <w:keepNext w:val="0"/>
              <w:keepLines w:val="0"/>
              <w:widowControl/>
              <w:numPr>
                <w:ilvl w:val="0"/>
                <w:numId w:val="2"/>
              </w:numPr>
              <w:suppressLineNumbers w:val="0"/>
              <w:ind w:left="0" w:leftChars="0" w:firstLine="0" w:firstLineChars="0"/>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t xml:space="preserve">Global Health and </w:t>
            </w:r>
            <w:r>
              <w:rPr>
                <w:rFonts w:hint="default" w:ascii="Times New Roman" w:hAnsi="Times New Roman" w:eastAsia="宋体" w:cs="Times New Roman"/>
                <w:kern w:val="0"/>
                <w:sz w:val="20"/>
                <w:szCs w:val="20"/>
                <w:lang w:val="en-US" w:eastAsia="zh-CN" w:bidi="ar-SA"/>
              </w:rPr>
              <w:t xml:space="preserve">Epidemiology </w:t>
            </w:r>
            <w:r>
              <w:rPr>
                <w:rFonts w:hint="eastAsia" w:ascii="Times New Roman" w:hAnsi="Times New Roman" w:eastAsia="宋体" w:cs="Times New Roman"/>
                <w:kern w:val="0"/>
                <w:sz w:val="20"/>
                <w:szCs w:val="20"/>
                <w:lang w:val="en-US" w:eastAsia="zh-CN" w:bidi="ar-SA"/>
              </w:rPr>
              <w:t>全球卫生和流行病学</w:t>
            </w:r>
          </w:p>
        </w:tc>
      </w:tr>
    </w:tbl>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u w:val="single"/>
        </w:rPr>
        <w:t>课程特色</w:t>
      </w:r>
    </w:p>
    <w:p>
      <w:pPr>
        <w:keepNext w:val="0"/>
        <w:keepLines w:val="0"/>
        <w:pageBreakBefore w:val="0"/>
        <w:widowControl w:val="0"/>
        <w:tabs>
          <w:tab w:val="right" w:pos="10466"/>
        </w:tabs>
        <w:kinsoku/>
        <w:wordWrap/>
        <w:overflowPunct/>
        <w:topLinePunct w:val="0"/>
        <w:bidi w:val="0"/>
        <w:snapToGrid/>
        <w:spacing w:line="40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【顶尖专业】提供全美顶尖</w:t>
      </w:r>
      <w:r>
        <w:rPr>
          <w:rFonts w:hint="default" w:ascii="Times New Roman" w:hAnsi="Times New Roman" w:eastAsia="宋体" w:cs="Times New Roman"/>
          <w:color w:val="000000"/>
          <w:sz w:val="24"/>
          <w:szCs w:val="24"/>
          <w:lang w:val="en-US" w:eastAsia="zh-CN"/>
        </w:rPr>
        <w:t>专业课程：3门语言课程+18门专业课程可供选择</w:t>
      </w:r>
      <w:r>
        <w:rPr>
          <w:rFonts w:hint="default" w:ascii="Times New Roman" w:hAnsi="Times New Roman" w:eastAsia="宋体" w:cs="Times New Roman"/>
          <w:color w:val="000000"/>
          <w:sz w:val="24"/>
          <w:szCs w:val="24"/>
        </w:rPr>
        <w:tab/>
      </w:r>
    </w:p>
    <w:p>
      <w:pPr>
        <w:keepNext w:val="0"/>
        <w:keepLines w:val="0"/>
        <w:pageBreakBefore w:val="0"/>
        <w:widowControl w:val="0"/>
        <w:tabs>
          <w:tab w:val="left" w:pos="180"/>
        </w:tabs>
        <w:kinsoku/>
        <w:wordWrap/>
        <w:overflowPunct/>
        <w:topLinePunct w:val="0"/>
        <w:bidi w:val="0"/>
        <w:snapToGrid/>
        <w:spacing w:line="40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【互动授课】互动授课，每周5天，每周约30小时</w:t>
      </w:r>
    </w:p>
    <w:p>
      <w:pPr>
        <w:pStyle w:val="8"/>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【质量保证】知名教授上课，获得动手、实践经验和体验顶尖美国式教育</w:t>
      </w:r>
    </w:p>
    <w:p>
      <w:pPr>
        <w:keepNext w:val="0"/>
        <w:keepLines w:val="0"/>
        <w:pageBreakBefore w:val="0"/>
        <w:widowControl w:val="0"/>
        <w:tabs>
          <w:tab w:val="left" w:pos="180"/>
        </w:tabs>
        <w:kinsoku/>
        <w:wordWrap/>
        <w:overflowPunct/>
        <w:topLinePunct w:val="0"/>
        <w:bidi w:val="0"/>
        <w:snapToGrid/>
        <w:spacing w:line="400" w:lineRule="exact"/>
        <w:textAlignment w:val="auto"/>
        <w:rPr>
          <w:rFonts w:hint="default" w:ascii="Times New Roman" w:hAnsi="Times New Roman" w:eastAsia="宋体" w:cs="Times New Roman"/>
          <w:color w:val="000000"/>
          <w:sz w:val="24"/>
          <w:szCs w:val="24"/>
          <w:lang w:eastAsia="zh-Hans"/>
        </w:rPr>
      </w:pPr>
      <w:r>
        <w:rPr>
          <w:rFonts w:hint="default" w:ascii="Times New Roman" w:hAnsi="Times New Roman" w:eastAsia="宋体" w:cs="Times New Roman"/>
          <w:color w:val="000000"/>
          <w:sz w:val="24"/>
          <w:szCs w:val="24"/>
        </w:rPr>
        <w:t>【世界名校】2024年世界排名：</w:t>
      </w:r>
      <w:r>
        <w:rPr>
          <w:rFonts w:hint="default" w:ascii="Times New Roman" w:hAnsi="Times New Roman" w:eastAsia="宋体" w:cs="Times New Roman"/>
          <w:i/>
          <w:color w:val="000000"/>
          <w:sz w:val="24"/>
          <w:szCs w:val="24"/>
        </w:rPr>
        <w:t>QS</w:t>
      </w:r>
      <w:r>
        <w:rPr>
          <w:rFonts w:hint="default" w:ascii="Times New Roman" w:hAnsi="Times New Roman" w:eastAsia="宋体" w:cs="Times New Roman"/>
          <w:color w:val="000000"/>
          <w:sz w:val="24"/>
          <w:szCs w:val="24"/>
        </w:rPr>
        <w:t xml:space="preserve"> 58; </w:t>
      </w:r>
      <w:r>
        <w:rPr>
          <w:rFonts w:hint="default" w:ascii="Times New Roman" w:hAnsi="Times New Roman" w:eastAsia="宋体" w:cs="Times New Roman"/>
          <w:i/>
          <w:color w:val="000000"/>
          <w:sz w:val="24"/>
          <w:szCs w:val="24"/>
        </w:rPr>
        <w:t>U.S.NEWS &amp; World Report</w:t>
      </w:r>
      <w:r>
        <w:rPr>
          <w:rFonts w:hint="default" w:ascii="Times New Roman" w:hAnsi="Times New Roman" w:eastAsia="宋体" w:cs="Times New Roman"/>
          <w:color w:val="000000"/>
          <w:sz w:val="24"/>
          <w:szCs w:val="24"/>
        </w:rPr>
        <w:t xml:space="preserve"> 202</w:t>
      </w:r>
      <w:r>
        <w:rPr>
          <w:rFonts w:hint="default"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lang w:eastAsia="zh-Hans"/>
        </w:rPr>
        <w:t>综合3</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 xml:space="preserve">, </w:t>
      </w:r>
      <w:r>
        <w:rPr>
          <w:rFonts w:hint="default" w:ascii="Times New Roman" w:hAnsi="Times New Roman" w:eastAsia="宋体" w:cs="Times New Roman"/>
          <w:color w:val="000000"/>
          <w:sz w:val="24"/>
          <w:szCs w:val="24"/>
          <w:lang w:eastAsia="zh-Hans"/>
        </w:rPr>
        <w:t>公立大学第</w:t>
      </w:r>
      <w:r>
        <w:rPr>
          <w:rFonts w:hint="default" w:ascii="Times New Roman" w:hAnsi="Times New Roman" w:eastAsia="宋体" w:cs="Times New Roman"/>
          <w:color w:val="000000"/>
          <w:sz w:val="24"/>
          <w:szCs w:val="24"/>
          <w:lang w:val="en-US" w:eastAsia="zh-CN"/>
        </w:rPr>
        <w:t>9</w:t>
      </w:r>
      <w:r>
        <w:rPr>
          <w:rFonts w:hint="default" w:ascii="Times New Roman" w:hAnsi="Times New Roman" w:eastAsia="宋体" w:cs="Times New Roman"/>
          <w:color w:val="000000"/>
          <w:sz w:val="24"/>
          <w:szCs w:val="24"/>
          <w:lang w:eastAsia="zh-Hans"/>
        </w:rPr>
        <w:t>位</w:t>
      </w:r>
    </w:p>
    <w:p>
      <w:pPr>
        <w:keepNext w:val="0"/>
        <w:keepLines w:val="0"/>
        <w:pageBreakBefore w:val="0"/>
        <w:widowControl w:val="0"/>
        <w:tabs>
          <w:tab w:val="left" w:pos="180"/>
        </w:tabs>
        <w:kinsoku/>
        <w:wordWrap/>
        <w:overflowPunct/>
        <w:topLinePunct w:val="0"/>
        <w:bidi w:val="0"/>
        <w:snapToGrid/>
        <w:spacing w:line="40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【共享设施】学生获得的Student ID可以免费获得图书馆的使用权限</w:t>
      </w:r>
    </w:p>
    <w:p>
      <w:pPr>
        <w:keepNext w:val="0"/>
        <w:keepLines w:val="0"/>
        <w:pageBreakBefore w:val="0"/>
        <w:widowControl w:val="0"/>
        <w:tabs>
          <w:tab w:val="left" w:pos="180"/>
        </w:tabs>
        <w:kinsoku/>
        <w:wordWrap/>
        <w:overflowPunct/>
        <w:topLinePunct w:val="0"/>
        <w:bidi w:val="0"/>
        <w:snapToGrid/>
        <w:spacing w:line="40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【文化体验】当地景点游览和教育基地参观</w:t>
      </w:r>
    </w:p>
    <w:p>
      <w:pPr>
        <w:keepNext w:val="0"/>
        <w:keepLines w:val="0"/>
        <w:pageBreakBefore w:val="0"/>
        <w:widowControl w:val="0"/>
        <w:tabs>
          <w:tab w:val="left" w:pos="180"/>
        </w:tabs>
        <w:kinsoku/>
        <w:wordWrap/>
        <w:overflowPunct/>
        <w:topLinePunct w:val="0"/>
        <w:bidi w:val="0"/>
        <w:snapToGrid/>
        <w:spacing w:line="40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【项目权威】合格完成项目的学生，获得UT颁发的正式结业证书和成绩单</w:t>
      </w:r>
    </w:p>
    <w:p>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lang w:val="en-US" w:eastAsia="zh-CN"/>
        </w:rPr>
        <w:t>课程时间和安排示例   2024年7月15日—8月9日 （4周）</w:t>
      </w:r>
    </w:p>
    <w:p>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lang w:val="en-US" w:eastAsia="zh-CN"/>
        </w:rPr>
        <w:t>学生们将每周参加5天课程，共计120小时。课程连续四周，星期一至星期五，每个上课时段3小时，每天6小时，中间有午休。</w:t>
      </w:r>
    </w:p>
    <w:p>
      <w:pPr>
        <w:keepNext w:val="0"/>
        <w:keepLines w:val="0"/>
        <w:pageBreakBefore w:val="0"/>
        <w:widowControl w:val="0"/>
        <w:kinsoku/>
        <w:wordWrap/>
        <w:overflowPunct/>
        <w:topLinePunct w:val="0"/>
        <w:bidi w:val="0"/>
        <w:snapToGrid/>
        <w:spacing w:line="400" w:lineRule="exact"/>
        <w:jc w:val="left"/>
        <w:textAlignment w:val="auto"/>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lang w:val="en-US" w:eastAsia="zh-CN"/>
        </w:rPr>
        <w:t>课程安排示例如下：</w:t>
      </w:r>
    </w:p>
    <w:tbl>
      <w:tblPr>
        <w:tblStyle w:val="4"/>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207"/>
        <w:gridCol w:w="1207"/>
        <w:gridCol w:w="1208"/>
        <w:gridCol w:w="1209"/>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时间安排</w:t>
            </w:r>
          </w:p>
        </w:tc>
        <w:tc>
          <w:tcPr>
            <w:tcW w:w="1207"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星期一</w:t>
            </w:r>
          </w:p>
        </w:tc>
        <w:tc>
          <w:tcPr>
            <w:tcW w:w="1207"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星期二</w:t>
            </w:r>
          </w:p>
        </w:tc>
        <w:tc>
          <w:tcPr>
            <w:tcW w:w="1208"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星期三</w:t>
            </w:r>
          </w:p>
        </w:tc>
        <w:tc>
          <w:tcPr>
            <w:tcW w:w="1209"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星期四</w:t>
            </w:r>
          </w:p>
        </w:tc>
        <w:tc>
          <w:tcPr>
            <w:tcW w:w="2191"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8:30am-10:30am</w:t>
            </w:r>
          </w:p>
        </w:tc>
        <w:tc>
          <w:tcPr>
            <w:tcW w:w="1207"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课程1</w:t>
            </w:r>
          </w:p>
        </w:tc>
        <w:tc>
          <w:tcPr>
            <w:tcW w:w="1207" w:type="dxa"/>
            <w:noWrap w:val="0"/>
            <w:vAlign w:val="top"/>
          </w:tcPr>
          <w:p>
            <w:pPr>
              <w:tabs>
                <w:tab w:val="left" w:pos="180"/>
              </w:tabs>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课程1</w:t>
            </w:r>
          </w:p>
        </w:tc>
        <w:tc>
          <w:tcPr>
            <w:tcW w:w="1208" w:type="dxa"/>
            <w:noWrap w:val="0"/>
            <w:vAlign w:val="top"/>
          </w:tcPr>
          <w:p>
            <w:pPr>
              <w:tabs>
                <w:tab w:val="left" w:pos="180"/>
              </w:tabs>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课程1</w:t>
            </w:r>
          </w:p>
        </w:tc>
        <w:tc>
          <w:tcPr>
            <w:tcW w:w="1209" w:type="dxa"/>
            <w:noWrap w:val="0"/>
            <w:vAlign w:val="top"/>
          </w:tcPr>
          <w:p>
            <w:pPr>
              <w:tabs>
                <w:tab w:val="left" w:pos="180"/>
              </w:tabs>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课程1</w:t>
            </w:r>
          </w:p>
        </w:tc>
        <w:tc>
          <w:tcPr>
            <w:tcW w:w="2191" w:type="dxa"/>
            <w:noWrap w:val="0"/>
            <w:vAlign w:val="top"/>
          </w:tcPr>
          <w:p>
            <w:pPr>
              <w:tabs>
                <w:tab w:val="left" w:pos="180"/>
              </w:tabs>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课程1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noWrap w:val="0"/>
            <w:vAlign w:val="top"/>
          </w:tcPr>
          <w:p>
            <w:pPr>
              <w:tabs>
                <w:tab w:val="left" w:pos="180"/>
              </w:tabs>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10:45am-12:45pm</w:t>
            </w:r>
          </w:p>
        </w:tc>
        <w:tc>
          <w:tcPr>
            <w:tcW w:w="1207"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课程2</w:t>
            </w:r>
          </w:p>
        </w:tc>
        <w:tc>
          <w:tcPr>
            <w:tcW w:w="1207" w:type="dxa"/>
            <w:noWrap w:val="0"/>
            <w:vAlign w:val="top"/>
          </w:tcPr>
          <w:p>
            <w:pPr>
              <w:tabs>
                <w:tab w:val="left" w:pos="180"/>
              </w:tabs>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课程2</w:t>
            </w:r>
          </w:p>
        </w:tc>
        <w:tc>
          <w:tcPr>
            <w:tcW w:w="1208" w:type="dxa"/>
            <w:noWrap w:val="0"/>
            <w:vAlign w:val="top"/>
          </w:tcPr>
          <w:p>
            <w:pPr>
              <w:tabs>
                <w:tab w:val="left" w:pos="180"/>
              </w:tabs>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课程2</w:t>
            </w:r>
          </w:p>
        </w:tc>
        <w:tc>
          <w:tcPr>
            <w:tcW w:w="1209" w:type="dxa"/>
            <w:noWrap w:val="0"/>
            <w:vAlign w:val="top"/>
          </w:tcPr>
          <w:p>
            <w:pPr>
              <w:tabs>
                <w:tab w:val="left" w:pos="180"/>
              </w:tabs>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课程2</w:t>
            </w:r>
          </w:p>
        </w:tc>
        <w:tc>
          <w:tcPr>
            <w:tcW w:w="2191" w:type="dxa"/>
            <w:noWrap w:val="0"/>
            <w:vAlign w:val="top"/>
          </w:tcPr>
          <w:p>
            <w:pPr>
              <w:tabs>
                <w:tab w:val="left" w:pos="180"/>
              </w:tabs>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课程2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4" w:type="dxa"/>
            <w:gridSpan w:val="6"/>
            <w:noWrap w:val="0"/>
            <w:vAlign w:val="top"/>
          </w:tcPr>
          <w:p>
            <w:pPr>
              <w:tabs>
                <w:tab w:val="left" w:pos="180"/>
              </w:tabs>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noWrap w:val="0"/>
            <w:vAlign w:val="top"/>
          </w:tcPr>
          <w:p>
            <w:pPr>
              <w:tabs>
                <w:tab w:val="left" w:pos="180"/>
              </w:tabs>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2:00pm-4:30pm</w:t>
            </w:r>
          </w:p>
        </w:tc>
        <w:tc>
          <w:tcPr>
            <w:tcW w:w="1207" w:type="dxa"/>
            <w:noWrap w:val="0"/>
            <w:vAlign w:val="top"/>
          </w:tcPr>
          <w:p>
            <w:pPr>
              <w:tabs>
                <w:tab w:val="left" w:pos="180"/>
              </w:tabs>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课程3</w:t>
            </w:r>
          </w:p>
        </w:tc>
        <w:tc>
          <w:tcPr>
            <w:tcW w:w="1207" w:type="dxa"/>
            <w:noWrap w:val="0"/>
            <w:vAlign w:val="top"/>
          </w:tcPr>
          <w:p>
            <w:pPr>
              <w:tabs>
                <w:tab w:val="left" w:pos="180"/>
              </w:tabs>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课程3</w:t>
            </w:r>
          </w:p>
        </w:tc>
        <w:tc>
          <w:tcPr>
            <w:tcW w:w="1208" w:type="dxa"/>
            <w:noWrap w:val="0"/>
            <w:vAlign w:val="top"/>
          </w:tcPr>
          <w:p>
            <w:pPr>
              <w:tabs>
                <w:tab w:val="left" w:pos="180"/>
              </w:tabs>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课程3</w:t>
            </w:r>
          </w:p>
        </w:tc>
        <w:tc>
          <w:tcPr>
            <w:tcW w:w="1209" w:type="dxa"/>
            <w:noWrap w:val="0"/>
            <w:vAlign w:val="top"/>
          </w:tcPr>
          <w:p>
            <w:pPr>
              <w:tabs>
                <w:tab w:val="left" w:pos="180"/>
              </w:tabs>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课程3</w:t>
            </w:r>
          </w:p>
        </w:tc>
        <w:tc>
          <w:tcPr>
            <w:tcW w:w="2191" w:type="dxa"/>
            <w:noWrap w:val="0"/>
            <w:vAlign w:val="top"/>
          </w:tcPr>
          <w:p>
            <w:pPr>
              <w:tabs>
                <w:tab w:val="left" w:pos="180"/>
              </w:tabs>
              <w:rPr>
                <w:rFonts w:hint="eastAsia" w:ascii="宋体" w:hAnsi="宋体" w:eastAsia="宋体" w:cs="宋体"/>
                <w:color w:val="000000"/>
                <w:sz w:val="21"/>
                <w:szCs w:val="21"/>
              </w:rPr>
            </w:pPr>
            <w:r>
              <w:rPr>
                <w:rFonts w:hint="eastAsia" w:ascii="宋体" w:hAnsi="宋体" w:eastAsia="宋体" w:cs="宋体"/>
                <w:color w:val="000000"/>
                <w:sz w:val="21"/>
                <w:szCs w:val="21"/>
              </w:rPr>
              <w:t>当地游览和教学参观</w:t>
            </w:r>
          </w:p>
        </w:tc>
      </w:tr>
    </w:tbl>
    <w:p>
      <w:pPr>
        <w:ind w:firstLine="422" w:firstLineChars="200"/>
        <w:jc w:val="left"/>
        <w:rPr>
          <w:rFonts w:hint="eastAsia" w:ascii="Calibri" w:hAnsi="Courier New" w:eastAsia="宋体" w:cs="Courier New"/>
          <w:b/>
          <w:szCs w:val="21"/>
          <w:highlight w:val="yellow"/>
          <w:lang w:val="en-US" w:eastAsia="zh-CN"/>
        </w:rPr>
      </w:pPr>
      <w:r>
        <w:rPr>
          <w:rFonts w:hint="eastAsia" w:ascii="Calibri" w:hAnsi="Courier New" w:eastAsia="宋体" w:cs="Courier New"/>
          <w:b/>
          <w:szCs w:val="21"/>
          <w:highlight w:val="yellow"/>
          <w:lang w:val="en-US" w:eastAsia="zh-CN"/>
        </w:rPr>
        <w:t>具体项目专业、课程设计与时间安排详见附件1.1及1.2</w:t>
      </w:r>
    </w:p>
    <w:p>
      <w:pPr>
        <w:jc w:val="left"/>
        <w:rPr>
          <w:rFonts w:hint="default" w:ascii="Calibri" w:hAnsi="Courier New" w:eastAsia="宋体" w:cs="Courier New"/>
          <w:b/>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、申请资格与条件</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申请人目前应为我校在读的</w:t>
      </w:r>
      <w:r>
        <w:rPr>
          <w:rFonts w:hint="eastAsia" w:ascii="宋体" w:hAnsi="宋体" w:eastAsia="宋体" w:cs="宋体"/>
          <w:kern w:val="0"/>
          <w:sz w:val="24"/>
          <w:szCs w:val="24"/>
          <w:lang w:val="en-US" w:eastAsia="zh-CN"/>
        </w:rPr>
        <w:t>2021级、2022级和2023级</w:t>
      </w:r>
      <w:r>
        <w:rPr>
          <w:rFonts w:hint="eastAsia" w:ascii="宋体" w:hAnsi="宋体" w:eastAsia="宋体" w:cs="宋体"/>
          <w:kern w:val="0"/>
          <w:sz w:val="24"/>
          <w:szCs w:val="24"/>
        </w:rPr>
        <w:t>优秀全日制本科学生。</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2．政治素质好，坚持四项基本原则，热爱社会主义祖国，无违法违纪记录。</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学习成绩优异，具有较强的、扎实的专业理论基础和实践能力，平均绩点达到 2.5 以上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建议</w:t>
      </w:r>
      <w:r>
        <w:rPr>
          <w:rFonts w:hint="eastAsia" w:ascii="宋体" w:hAnsi="宋体" w:eastAsia="宋体" w:cs="宋体"/>
          <w:kern w:val="0"/>
          <w:sz w:val="24"/>
          <w:szCs w:val="24"/>
          <w:lang w:val="en-CA" w:eastAsia="zh-CN"/>
        </w:rPr>
        <w:t>GPA 3.0以上</w:t>
      </w:r>
      <w:r>
        <w:rPr>
          <w:rFonts w:hint="eastAsia" w:ascii="宋体" w:hAnsi="宋体" w:eastAsia="宋体" w:cs="宋体"/>
          <w:kern w:val="0"/>
          <w:sz w:val="24"/>
          <w:szCs w:val="24"/>
        </w:rPr>
        <w:t>（满分 4.0）。</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4．英语水平证明（</w:t>
      </w:r>
      <w:r>
        <w:rPr>
          <w:rFonts w:hint="eastAsia" w:ascii="宋体" w:hAnsi="宋体" w:eastAsia="宋体" w:cs="宋体"/>
          <w:kern w:val="0"/>
          <w:sz w:val="24"/>
          <w:szCs w:val="24"/>
          <w:lang w:val="en-US" w:eastAsia="zh-CN"/>
        </w:rPr>
        <w:t>提供</w:t>
      </w:r>
      <w:r>
        <w:rPr>
          <w:rFonts w:hint="eastAsia" w:ascii="宋体" w:hAnsi="宋体" w:eastAsia="宋体" w:cs="宋体"/>
          <w:kern w:val="0"/>
          <w:sz w:val="24"/>
          <w:szCs w:val="24"/>
        </w:rPr>
        <w:t>托福、雅思、大学四六级</w:t>
      </w:r>
      <w:r>
        <w:rPr>
          <w:rFonts w:hint="eastAsia" w:ascii="宋体" w:hAnsi="宋体" w:eastAsia="宋体" w:cs="宋体"/>
          <w:kern w:val="0"/>
          <w:sz w:val="24"/>
          <w:szCs w:val="24"/>
          <w:lang w:val="en-US" w:eastAsia="zh-CN"/>
        </w:rPr>
        <w:t>证书</w:t>
      </w:r>
      <w:r>
        <w:rPr>
          <w:rFonts w:hint="eastAsia" w:ascii="宋体" w:hAnsi="宋体" w:eastAsia="宋体" w:cs="宋体"/>
          <w:kern w:val="0"/>
          <w:sz w:val="24"/>
          <w:szCs w:val="24"/>
        </w:rPr>
        <w:t>或国内学校出具的官方信函）</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身心健康，能圆满完成学习任务。</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6．已交足我校规定的各项费用，具有一定的经济能力。</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、选拔程序</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1．采取“个人申请、学院推荐、专家评审、择优录取”的方式进行选拔。</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2．申请人应向所在学院提交以下材料：</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（1）《南京邮电大学本科生海外访学申请表》（附件2）；</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（2）英语水平证明及复印件；</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（3）学术科研能力证明材料及复印件（包括论文发表、参与竞赛、项目等）；</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（4）获奖证书及复印件。</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3</w:t>
      </w:r>
      <w:r>
        <w:rPr>
          <w:rFonts w:hint="eastAsia" w:ascii="宋体" w:hAnsi="宋体" w:eastAsia="宋体" w:cs="宋体"/>
          <w:kern w:val="0"/>
          <w:sz w:val="24"/>
          <w:szCs w:val="24"/>
          <w:highlight w:val="none"/>
        </w:rPr>
        <w:t>．申请人将申请材料交至各学院，学院根据申请资格与条件对申请人进行筛选、排序并填写《南京邮电大学本科生海外访学申请汇总表》（附件3），于</w:t>
      </w:r>
      <w:r>
        <w:rPr>
          <w:rFonts w:hint="eastAsia" w:ascii="宋体" w:hAnsi="宋体" w:eastAsia="宋体" w:cs="宋体"/>
          <w:b/>
          <w:bCs/>
          <w:kern w:val="0"/>
          <w:sz w:val="24"/>
          <w:szCs w:val="24"/>
          <w:highlight w:val="none"/>
          <w:lang w:val="en-US" w:eastAsia="zh-CN"/>
        </w:rPr>
        <w:t>4</w:t>
      </w:r>
      <w:r>
        <w:rPr>
          <w:rFonts w:hint="eastAsia" w:ascii="宋体" w:hAnsi="宋体" w:eastAsia="宋体" w:cs="宋体"/>
          <w:b/>
          <w:bCs/>
          <w:kern w:val="0"/>
          <w:sz w:val="24"/>
          <w:szCs w:val="24"/>
          <w:highlight w:val="none"/>
        </w:rPr>
        <w:t>月</w:t>
      </w:r>
      <w:r>
        <w:rPr>
          <w:rFonts w:hint="eastAsia" w:ascii="宋体" w:hAnsi="宋体" w:eastAsia="宋体" w:cs="宋体"/>
          <w:b/>
          <w:bCs/>
          <w:kern w:val="0"/>
          <w:sz w:val="24"/>
          <w:szCs w:val="24"/>
          <w:highlight w:val="none"/>
          <w:lang w:val="en-US" w:eastAsia="zh-CN"/>
        </w:rPr>
        <w:t>23</w:t>
      </w:r>
      <w:r>
        <w:rPr>
          <w:rFonts w:hint="eastAsia" w:ascii="宋体" w:hAnsi="宋体" w:eastAsia="宋体" w:cs="宋体"/>
          <w:b/>
          <w:bCs/>
          <w:kern w:val="0"/>
          <w:sz w:val="24"/>
          <w:szCs w:val="24"/>
          <w:highlight w:val="none"/>
        </w:rPr>
        <w:t>日</w:t>
      </w:r>
      <w:r>
        <w:rPr>
          <w:rFonts w:hint="eastAsia" w:ascii="宋体" w:hAnsi="宋体" w:eastAsia="宋体" w:cs="宋体"/>
          <w:kern w:val="0"/>
          <w:sz w:val="24"/>
          <w:szCs w:val="24"/>
          <w:highlight w:val="none"/>
        </w:rPr>
        <w:t>前将候选人申请材料及汇总表交至教务处实践教学科，逾期不递交材料的学院作自动放弃处理。</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4．教务处会同相关部门，共同组织专家进行评审，确定我校</w:t>
      </w:r>
      <w:r>
        <w:rPr>
          <w:rFonts w:hint="eastAsia" w:ascii="宋体" w:hAnsi="宋体" w:eastAsia="宋体" w:cs="宋体"/>
          <w:kern w:val="0"/>
          <w:sz w:val="24"/>
          <w:szCs w:val="24"/>
          <w:lang w:eastAsia="zh-CN"/>
        </w:rPr>
        <w:t>参加</w:t>
      </w:r>
      <w:r>
        <w:rPr>
          <w:rFonts w:hint="eastAsia" w:ascii="宋体" w:hAnsi="宋体" w:eastAsia="宋体" w:cs="宋体"/>
          <w:kern w:val="0"/>
          <w:sz w:val="24"/>
          <w:szCs w:val="24"/>
          <w:lang w:val="en-US" w:eastAsia="zh-CN"/>
        </w:rPr>
        <w:t>该</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学生名单，并进行公示。</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 xml:space="preserve">5. </w:t>
      </w:r>
      <w:r>
        <w:rPr>
          <w:rFonts w:hint="eastAsia" w:ascii="宋体" w:hAnsi="宋体" w:eastAsia="宋体" w:cs="宋体"/>
          <w:b/>
          <w:bCs/>
          <w:kern w:val="0"/>
          <w:sz w:val="24"/>
          <w:szCs w:val="24"/>
          <w:lang w:val="en-US" w:eastAsia="zh-CN"/>
        </w:rPr>
        <w:t>奥斯汀分校的申请材料及要求详见附件1.1、1.2，申请表模板参见附件1.3。</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、费用情况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$5500美元（共120个小时，可获得Texas global共9个学分）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包含：学费，材料费，食宿费，活动费，国际生管理费，保险费，课程证书费，成绩单费等。</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不包含：国际机票费用，如有教授要求的书本费，签证费用，SEVIS费，机场来回费用及其他个人消费</w:t>
      </w:r>
      <w:r>
        <w:rPr>
          <w:rFonts w:hint="eastAsia" w:ascii="宋体" w:hAnsi="宋体" w:eastAsia="宋体" w:cs="宋体"/>
          <w:b w:val="0"/>
          <w:bCs w:val="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、其他</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 联系人：</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国际合作交流处：李老师 </w:t>
      </w:r>
      <w:r>
        <w:rPr>
          <w:rFonts w:hint="eastAsia" w:ascii="宋体" w:hAnsi="宋体" w:eastAsia="宋体" w:cs="宋体"/>
          <w:i w:val="0"/>
          <w:caps w:val="0"/>
          <w:color w:val="000000"/>
          <w:spacing w:val="0"/>
          <w:sz w:val="24"/>
          <w:szCs w:val="24"/>
          <w:lang w:val="en-US" w:eastAsia="zh-CN"/>
        </w:rPr>
        <w:t>85866716</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教务处：于老师85866258。</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 被录取学生需交纳材料，另行通知。</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5040" w:firstLineChars="21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教务处</w:t>
      </w:r>
    </w:p>
    <w:p>
      <w:pPr>
        <w:keepNext w:val="0"/>
        <w:keepLines w:val="0"/>
        <w:pageBreakBefore w:val="0"/>
        <w:widowControl/>
        <w:kinsoku/>
        <w:wordWrap/>
        <w:overflowPunct/>
        <w:topLinePunct w:val="0"/>
        <w:autoSpaceDE/>
        <w:autoSpaceDN/>
        <w:bidi w:val="0"/>
        <w:adjustRightInd/>
        <w:snapToGrid/>
        <w:spacing w:line="400" w:lineRule="exact"/>
        <w:ind w:firstLine="4440" w:firstLineChars="185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19日</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bCs/>
          <w:kern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7AE8D"/>
    <w:multiLevelType w:val="singleLevel"/>
    <w:tmpl w:val="CC07AE8D"/>
    <w:lvl w:ilvl="0" w:tentative="0">
      <w:start w:val="1"/>
      <w:numFmt w:val="decimal"/>
      <w:suff w:val="space"/>
      <w:lvlText w:val="%1."/>
      <w:lvlJc w:val="left"/>
    </w:lvl>
  </w:abstractNum>
  <w:abstractNum w:abstractNumId="1">
    <w:nsid w:val="E8D706C8"/>
    <w:multiLevelType w:val="singleLevel"/>
    <w:tmpl w:val="E8D706C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50C571C4"/>
    <w:rsid w:val="05183DDF"/>
    <w:rsid w:val="0EAC0C2F"/>
    <w:rsid w:val="0EB52DF2"/>
    <w:rsid w:val="0FB029A1"/>
    <w:rsid w:val="16C90CFD"/>
    <w:rsid w:val="22C55C73"/>
    <w:rsid w:val="23B56422"/>
    <w:rsid w:val="26E92BE5"/>
    <w:rsid w:val="327C7E4F"/>
    <w:rsid w:val="36FB00F6"/>
    <w:rsid w:val="3E9C66FE"/>
    <w:rsid w:val="44F35501"/>
    <w:rsid w:val="47836540"/>
    <w:rsid w:val="478D5361"/>
    <w:rsid w:val="4AEA0A2B"/>
    <w:rsid w:val="4B063F3C"/>
    <w:rsid w:val="50C571C4"/>
    <w:rsid w:val="517B725D"/>
    <w:rsid w:val="5187487C"/>
    <w:rsid w:val="544B7B81"/>
    <w:rsid w:val="57BA1485"/>
    <w:rsid w:val="5AFC1A27"/>
    <w:rsid w:val="5D700FA9"/>
    <w:rsid w:val="5DEF3C61"/>
    <w:rsid w:val="5F953F4F"/>
    <w:rsid w:val="5FDB7FB7"/>
    <w:rsid w:val="62D6068C"/>
    <w:rsid w:val="66AB67BB"/>
    <w:rsid w:val="6C1A04F7"/>
    <w:rsid w:val="73403702"/>
    <w:rsid w:val="75437D2C"/>
    <w:rsid w:val="7C43544C"/>
    <w:rsid w:val="7EF83206"/>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jc w:val="left"/>
    </w:pPr>
    <w:rPr>
      <w:rFonts w:hAnsi="Courier New" w:eastAsia="Times New Roman" w:cs="Times New Roman"/>
      <w:kern w:val="0"/>
    </w:rPr>
  </w:style>
  <w:style w:type="table" w:styleId="4">
    <w:name w:val="Table Grid"/>
    <w:basedOn w:val="3"/>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无间隔1"/>
    <w:qFormat/>
    <w:uiPriority w:val="99"/>
    <w:pPr>
      <w:adjustRightInd w:val="0"/>
      <w:snapToGrid w:val="0"/>
    </w:pPr>
    <w:rPr>
      <w:rFonts w:ascii="Tahoma" w:hAnsi="Tahoma" w:eastAsia="宋体" w:cs="Tahoma"/>
      <w:sz w:val="22"/>
      <w:szCs w:val="22"/>
      <w:lang w:val="en-US" w:eastAsia="zh-CN" w:bidi="ar-SA"/>
    </w:rPr>
  </w:style>
  <w:style w:type="paragraph" w:customStyle="1" w:styleId="10">
    <w:name w:val="Table Paragraph"/>
    <w:basedOn w:val="1"/>
    <w:autoRedefine/>
    <w:qFormat/>
    <w:uiPriority w:val="1"/>
    <w:rPr>
      <w:rFonts w:eastAsia="宋体" w:cs="Times New Roman"/>
      <w:szCs w:val="24"/>
    </w:rPr>
  </w:style>
  <w:style w:type="paragraph" w:customStyle="1" w:styleId="11">
    <w:name w:val="_tg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2020-10-16T10:11:00Z</dcterms:created>
  <dc:creator>WIN7</dc:creator>
  <cp:lastModifiedBy>于华</cp:lastModifiedBy>
  <dcterms:modified xsi:type="dcterms:W3CDTF">2024-03-19T07:57:46Z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A8631205DA384BD9B86D74A28BE7441F_13</vt:lpwstr>
  </property>
</Properties>
</file>