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tLeas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</w:rPr>
        <w:t>关于</w:t>
      </w:r>
      <w:bookmarkStart w:id="0" w:name="OLE_LINK2"/>
      <w:r>
        <w:rPr>
          <w:rFonts w:hint="eastAsia" w:ascii="宋体" w:hAnsi="宋体" w:eastAsia="宋体" w:cs="宋体"/>
          <w:b/>
          <w:bCs/>
          <w:color w:val="auto"/>
          <w:kern w:val="0"/>
          <w:sz w:val="30"/>
        </w:rPr>
        <w:t>美国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lang w:val="en-CA" w:eastAsia="zh-CN"/>
        </w:rPr>
        <w:t>加州大学欧文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lang w:val="en-US" w:eastAsia="zh-CN"/>
        </w:rPr>
        <w:t>分校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</w:rPr>
        <w:t>访学研修学分课程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lang w:val="en-US" w:eastAsia="zh-CN"/>
        </w:rPr>
        <w:t>夏季、秋季学期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lang w:eastAsia="zh-CN"/>
        </w:rPr>
        <w:t>）</w:t>
      </w:r>
      <w:bookmarkEnd w:id="0"/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lang w:val="en-US" w:eastAsia="zh-CN"/>
        </w:rPr>
        <w:t>项目报名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</w:rPr>
        <w:t>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我校与美国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加州大学欧文分校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友好协商，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欧文分校将继续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为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我校学生提供访学研修学期（学分）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课程，让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同学们和来自全球的优秀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共同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CA" w:eastAsia="zh-CN"/>
        </w:rPr>
        <w:t>深度探索和学习前沿的研究领域知识、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适应美国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顶尖名校的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学习风格、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同时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浸入式地感受美国的文化和学术氛围。现启动申请工作。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一、欧文分校简介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加州大学欧文分校(简称UCI)，创立于1965年，位于南加州的橘子郡，是加州大学系统综合实力最为强劲的分校之一，它多年都位列于世界“百强大学”，是世界顶尖研究型大学，同时也是 “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instrText xml:space="preserve"> HYPERLINK "https://baike.baidu.com/item/%E5%85%AC%E7%AB%8B%E5%B8%B8%E6%98%A5%E8%97%A4/2522862" \t "_blank" </w:instrTex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公立常春藤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”盟校成员。2021年USNEWS综合排名78位，美国公立学校排名第7位。UCI科研实力非常卓越，曾在物理和化学领域获得3个诺贝尔奖，化学、生物、物理、商科、工程、计算机、法律、经济和政治科学是其强势专业，均在全美排名前50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二、项目简介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CA" w:eastAsia="zh-CN"/>
        </w:rPr>
        <w:t>Undergraduate Academic Study Abroad Program (U-ASAP) 是加州大学欧文分校面向全球优等本科学生开展的学术交流项目，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是一个已经面向全世界高校开设多年的【特色】学术交流课程。得益于其大学的学术声誉与全美最安全城市“美名”，每年有来自全世界100多个国家及地区的学生来到UCI进行交流学习，多年来获得了世界各地合作大学伙伴与优秀学子的一致好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学生通过所在学校以及UCI的共同选拔后，在为期1-3学期时间里，学生会选择自己最感兴趣，同时符合自己学术目标的课程，师从UCI大学里的知名教授，并且和其它本地学生一起学习、实验室科研、讨论</w:t>
      </w:r>
      <w:bookmarkStart w:id="3" w:name="_GoBack"/>
      <w:bookmarkEnd w:id="3"/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和发表论文。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rPr>
          <w:rFonts w:ascii="等线" w:hAnsi="等线" w:eastAsia="等线" w:cstheme="minorHAnsi"/>
          <w:b/>
          <w:bCs/>
          <w:sz w:val="24"/>
          <w:szCs w:val="24"/>
          <w:lang w:val="en-C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顺利完成课程后，学生将会获得UCI开具的结业证书和成绩单，经中方大学处，或者院系评估后认可的学分转为中方大学学分。针对国内高校渴望去UCI交流，但是语言成绩尚未达标的本科和研究生学生，UCI还专门开设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了个性化语言兼学分课程（Customized Success Language，CSL），学生可以根据自身的语言成绩选择不同时长的课程（托福71-79的学生可以申请2学期；托福61-70的学生可以申请3学期），学生在入学后会参加语言测试，分班到不同级别的ESL课程，语言成绩达标后开始修学分课程。如果学生无语言成绩，交完材料和申请费后学校会安排ESL线上英语测试，测试成绩达到Level 5可以入读9个月CSL，达到Level 6可以入读6个月CSL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ascii="等线" w:hAnsi="等线" w:eastAsia="等线" w:cstheme="minorHAnsi"/>
          <w:b/>
          <w:bCs/>
          <w:sz w:val="24"/>
          <w:szCs w:val="24"/>
          <w:lang w:val="en-CA"/>
        </w:rPr>
      </w:pPr>
      <w:r>
        <w:rPr>
          <w:rFonts w:ascii="等线" w:hAnsi="等线" w:eastAsia="等线" w:cstheme="minorHAnsi"/>
          <w:b/>
          <w:bCs/>
          <w:sz w:val="24"/>
          <w:szCs w:val="24"/>
          <w:lang w:val="en-CA"/>
        </w:rPr>
        <w:t>100%“原汁原味”的加州欧文学习体验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7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等线" w:hAnsi="等线" w:eastAsia="等线" w:cstheme="minorHAnsi"/>
                <w:lang w:val="en-CA"/>
              </w:rPr>
            </w:pPr>
          </w:p>
        </w:tc>
        <w:tc>
          <w:tcPr>
            <w:tcW w:w="7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 w:cstheme="minorHAnsi"/>
                <w:b/>
                <w:bCs/>
                <w:lang w:val="en-CA"/>
              </w:rPr>
            </w:pPr>
            <w:r>
              <w:rPr>
                <w:rFonts w:hint="eastAsia" w:ascii="等线" w:hAnsi="等线" w:eastAsia="等线" w:cstheme="minorHAnsi"/>
                <w:b/>
                <w:bCs/>
                <w:lang w:val="en-CA"/>
              </w:rPr>
              <w:t>访学研修学分课程A</w:t>
            </w:r>
            <w:r>
              <w:rPr>
                <w:rFonts w:ascii="等线" w:hAnsi="等线" w:eastAsia="等线" w:cstheme="minorHAnsi"/>
                <w:b/>
                <w:bCs/>
                <w:lang w:val="en-CA"/>
              </w:rPr>
              <w:t>SAP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等线" w:hAnsi="等线" w:eastAsia="等线" w:cstheme="minorHAnsi"/>
                <w:b/>
                <w:bCs/>
                <w:lang w:val="en-CA"/>
              </w:rPr>
            </w:pPr>
            <w:r>
              <w:rPr>
                <w:rFonts w:ascii="等线" w:hAnsi="等线" w:eastAsia="等线" w:cstheme="minorHAnsi"/>
                <w:b/>
                <w:bCs/>
                <w:lang w:val="en-CA"/>
              </w:rPr>
              <w:t>学生群体：</w:t>
            </w:r>
          </w:p>
        </w:tc>
        <w:tc>
          <w:tcPr>
            <w:tcW w:w="7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等线" w:hAnsi="等线" w:eastAsia="等线" w:cstheme="minorHAnsi"/>
                <w:lang w:val="en-CA"/>
              </w:rPr>
            </w:pPr>
            <w:r>
              <w:rPr>
                <w:rFonts w:hint="eastAsia" w:ascii="等线" w:hAnsi="等线" w:eastAsia="等线" w:cstheme="minorHAnsi"/>
                <w:lang w:val="en-CA"/>
              </w:rPr>
              <w:t>至少完成一年的本科课程的优秀本科生、研究生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等线" w:hAnsi="等线" w:eastAsia="等线" w:cstheme="minorHAnsi"/>
                <w:b/>
                <w:bCs/>
                <w:lang w:val="en-CA"/>
              </w:rPr>
            </w:pPr>
            <w:r>
              <w:rPr>
                <w:rFonts w:ascii="等线" w:hAnsi="等线" w:eastAsia="等线" w:cstheme="minorHAnsi"/>
                <w:b/>
                <w:bCs/>
                <w:lang w:val="en-CA"/>
              </w:rPr>
              <w:t>签证类别：</w:t>
            </w:r>
          </w:p>
        </w:tc>
        <w:tc>
          <w:tcPr>
            <w:tcW w:w="7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等线" w:hAnsi="等线" w:eastAsia="等线" w:cstheme="minorHAnsi"/>
                <w:lang w:val="en-CA"/>
              </w:rPr>
            </w:pPr>
            <w:r>
              <w:rPr>
                <w:rFonts w:ascii="等线" w:hAnsi="等线" w:eastAsia="等线" w:cstheme="minorHAnsi"/>
                <w:lang w:val="en-CA"/>
              </w:rPr>
              <w:t>F-1学生签证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等线" w:hAnsi="等线" w:eastAsia="等线" w:cstheme="minorHAnsi"/>
                <w:b/>
                <w:bCs/>
                <w:lang w:val="en-CA"/>
              </w:rPr>
            </w:pPr>
            <w:r>
              <w:rPr>
                <w:rFonts w:ascii="等线" w:hAnsi="等线" w:eastAsia="等线" w:cstheme="minorHAnsi"/>
                <w:b/>
                <w:bCs/>
                <w:lang w:val="en-CA"/>
              </w:rPr>
              <w:t>专业选择：</w:t>
            </w:r>
          </w:p>
        </w:tc>
        <w:tc>
          <w:tcPr>
            <w:tcW w:w="7948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等线" w:hAnsi="等线" w:eastAsia="等线" w:cstheme="minorHAnsi"/>
                <w:lang w:val="en-CA"/>
              </w:rPr>
            </w:pPr>
            <w:r>
              <w:rPr>
                <w:rFonts w:hint="eastAsia" w:ascii="等线" w:hAnsi="等线" w:eastAsia="等线" w:cstheme="minorHAnsi"/>
                <w:lang w:val="en-CA"/>
              </w:rPr>
              <w:t>本科</w:t>
            </w:r>
            <w:r>
              <w:rPr>
                <w:rFonts w:ascii="等线" w:hAnsi="等线" w:eastAsia="等线" w:cstheme="minorHAnsi"/>
                <w:lang w:val="en-CA"/>
              </w:rPr>
              <w:t>1400门专业课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等线" w:hAnsi="等线" w:eastAsia="等线" w:cstheme="minorHAnsi"/>
                <w:lang w:val="en-CA"/>
              </w:rPr>
            </w:pPr>
            <w:r>
              <w:rPr>
                <w:rFonts w:hint="eastAsia" w:ascii="等线" w:hAnsi="等线" w:eastAsia="等线" w:cstheme="minorHAnsi"/>
                <w:lang w:val="en-CA"/>
              </w:rPr>
              <w:t>修研究生课程的学生，需要获得</w:t>
            </w:r>
            <w:r>
              <w:rPr>
                <w:rFonts w:ascii="等线" w:hAnsi="等线" w:eastAsia="等线" w:cstheme="minorHAnsi"/>
                <w:lang w:val="en-CA"/>
              </w:rPr>
              <w:t>教授/导师同意</w:t>
            </w:r>
            <w:r>
              <w:rPr>
                <w:rFonts w:hint="eastAsia" w:ascii="等线" w:hAnsi="等线" w:eastAsia="等线" w:cstheme="minorHAnsi"/>
                <w:lang w:val="en-CA"/>
              </w:rPr>
              <w:t>，且符合背景要求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等线" w:hAnsi="等线" w:eastAsia="等线" w:cstheme="minorHAnsi"/>
                <w:b/>
                <w:bCs/>
                <w:lang w:val="en-CA"/>
              </w:rPr>
            </w:pPr>
            <w:r>
              <w:rPr>
                <w:rFonts w:ascii="等线" w:hAnsi="等线" w:eastAsia="等线" w:cstheme="minorHAnsi"/>
                <w:b/>
                <w:bCs/>
                <w:lang w:val="en-CA"/>
              </w:rPr>
              <w:t>授课形式：</w:t>
            </w:r>
          </w:p>
        </w:tc>
        <w:tc>
          <w:tcPr>
            <w:tcW w:w="7948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等线" w:hAnsi="等线" w:eastAsia="等线" w:cstheme="minorHAnsi"/>
                <w:lang w:val="en-CA"/>
              </w:rPr>
            </w:pPr>
            <w:r>
              <w:rPr>
                <w:rFonts w:ascii="等线" w:hAnsi="等线" w:eastAsia="等线" w:cstheme="minorHAnsi"/>
                <w:lang w:val="en-CA"/>
              </w:rPr>
              <w:t>中美大学生课堂交流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等线" w:hAnsi="等线" w:eastAsia="等线" w:cstheme="minorHAnsi"/>
                <w:lang w:val="en-CA"/>
              </w:rPr>
            </w:pPr>
            <w:r>
              <w:rPr>
                <w:rFonts w:ascii="等线" w:hAnsi="等线" w:eastAsia="等线" w:cstheme="minorHAnsi"/>
                <w:lang w:val="en-CA"/>
              </w:rPr>
              <w:t>课堂与科研实践相结合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等线" w:hAnsi="等线" w:eastAsia="等线" w:cstheme="minorHAnsi"/>
                <w:lang w:val="en-CA"/>
              </w:rPr>
            </w:pPr>
            <w:r>
              <w:rPr>
                <w:rFonts w:ascii="等线" w:hAnsi="等线" w:eastAsia="等线" w:cstheme="minorHAnsi"/>
              </w:rPr>
              <w:t>研究/博士生混班学习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等线" w:hAnsi="等线" w:eastAsia="等线" w:cstheme="minorHAnsi"/>
                <w:lang w:val="en-CA"/>
              </w:rPr>
            </w:pPr>
            <w:r>
              <w:rPr>
                <w:rFonts w:ascii="等线" w:hAnsi="等线" w:eastAsia="等线" w:cstheme="minorHAnsi"/>
              </w:rPr>
              <w:t>科研实操</w:t>
            </w:r>
            <w:r>
              <w:rPr>
                <w:rFonts w:hint="eastAsia" w:ascii="等线" w:hAnsi="等线" w:eastAsia="等线" w:cstheme="minorHAnsi"/>
              </w:rPr>
              <w:t>以及</w:t>
            </w:r>
            <w:r>
              <w:rPr>
                <w:rFonts w:ascii="等线" w:hAnsi="等线" w:eastAsia="等线" w:cstheme="minorHAnsi"/>
              </w:rPr>
              <w:t>行业观摩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7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baseline"/>
              <w:rPr>
                <w:rFonts w:ascii="等线" w:hAnsi="等线" w:eastAsia="等线" w:cstheme="minorHAnsi"/>
                <w:b/>
                <w:bCs/>
                <w:color w:val="222222"/>
                <w:lang w:val="en-CA"/>
              </w:rPr>
            </w:pPr>
            <w:r>
              <w:rPr>
                <w:rFonts w:ascii="等线" w:hAnsi="等线" w:eastAsia="等线" w:cstheme="minorHAnsi"/>
                <w:b/>
                <w:bCs/>
                <w:color w:val="222222"/>
                <w:lang w:val="en-CA"/>
              </w:rPr>
              <w:t>项目优势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等线" w:hAnsi="等线" w:eastAsia="等线" w:cstheme="minorHAnsi"/>
                <w:b/>
                <w:bCs/>
                <w:lang w:val="en-CA"/>
              </w:rPr>
            </w:pPr>
          </w:p>
        </w:tc>
        <w:tc>
          <w:tcPr>
            <w:tcW w:w="7948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baseline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ascii="等线" w:hAnsi="等线" w:eastAsia="等线" w:cstheme="minorHAnsi"/>
                <w:color w:val="222222"/>
                <w:lang w:val="en-CA"/>
              </w:rPr>
              <w:t>尊享全美“</w:t>
            </w:r>
            <w:r>
              <w:rPr>
                <w:rFonts w:ascii="等线" w:hAnsi="等线" w:eastAsia="等线" w:cstheme="minorHAnsi"/>
                <w:b/>
                <w:bCs/>
                <w:color w:val="C00000"/>
                <w:lang w:val="en-CA"/>
              </w:rPr>
              <w:t>最安全</w:t>
            </w:r>
            <w:r>
              <w:rPr>
                <w:rFonts w:ascii="等线" w:hAnsi="等线" w:eastAsia="等线" w:cstheme="minorHAnsi"/>
                <w:color w:val="222222"/>
                <w:lang w:val="en-CA"/>
              </w:rPr>
              <w:t>”城市与校园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baseline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相对UCI排名、课程门槛不高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baseline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获益良多、英语提高、可获UCI学分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baseline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访学成本比其它UC要低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baseline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国内高校合作、学分可以带回本校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baseline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可获得正式UCI大学成绩单和证书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等线" w:hAnsi="等线" w:eastAsia="等线" w:cstheme="minorHAnsi"/>
                <w:color w:val="000000"/>
                <w:shd w:val="clear" w:color="auto" w:fill="FFFFFF"/>
              </w:rPr>
            </w:pPr>
            <w:r>
              <w:rPr>
                <w:rFonts w:ascii="等线" w:hAnsi="等线" w:eastAsia="等线" w:cstheme="minorHAnsi"/>
                <w:color w:val="000000"/>
                <w:shd w:val="clear" w:color="auto" w:fill="FFFFFF"/>
              </w:rPr>
              <w:t>享受专业学术及科研指导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等线" w:hAnsi="等线" w:eastAsia="等线" w:cstheme="minorHAnsi"/>
                <w:color w:val="000000"/>
                <w:shd w:val="clear" w:color="auto" w:fill="FFFFFF"/>
              </w:rPr>
            </w:pPr>
            <w:r>
              <w:rPr>
                <w:rFonts w:ascii="等线" w:hAnsi="等线" w:eastAsia="等线" w:cstheme="minorHAnsi"/>
                <w:b/>
                <w:bCs/>
                <w:color w:val="C00000"/>
                <w:shd w:val="clear" w:color="auto" w:fill="FFFFFF"/>
              </w:rPr>
              <w:t>专业课教授推荐信</w:t>
            </w:r>
            <w:r>
              <w:rPr>
                <w:rFonts w:ascii="等线" w:hAnsi="等线" w:eastAsia="等线" w:cstheme="minorHAnsi"/>
                <w:color w:val="000000"/>
                <w:shd w:val="clear" w:color="auto" w:fill="FFFFFF"/>
              </w:rPr>
              <w:t>，有助</w:t>
            </w:r>
            <w:r>
              <w:rPr>
                <w:rFonts w:hint="eastAsia" w:ascii="等线" w:hAnsi="等线" w:eastAsia="等线" w:cstheme="minorHAnsi"/>
                <w:color w:val="000000"/>
                <w:shd w:val="clear" w:color="auto" w:fill="FFFFFF"/>
              </w:rPr>
              <w:t>硕士/</w:t>
            </w:r>
            <w:r>
              <w:rPr>
                <w:rFonts w:ascii="等线" w:hAnsi="等线" w:eastAsia="等线" w:cstheme="minorHAnsi"/>
                <w:color w:val="000000"/>
                <w:shd w:val="clear" w:color="auto" w:fill="FFFFFF"/>
              </w:rPr>
              <w:t>博士学位与奖学金申请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baseline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与UCI教授、博士参加科研团队、推荐信、申研和博的重要通道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baseline"/>
              <w:rPr>
                <w:rFonts w:ascii="等线" w:hAnsi="等线" w:eastAsia="等线" w:cstheme="minorHAnsi"/>
                <w:b/>
                <w:bCs/>
                <w:color w:val="222222"/>
                <w:lang w:val="en-CA"/>
              </w:rPr>
            </w:pPr>
            <w:r>
              <w:rPr>
                <w:rFonts w:ascii="等线" w:hAnsi="等线" w:eastAsia="等线" w:cstheme="minorHAnsi"/>
                <w:b/>
                <w:bCs/>
                <w:color w:val="222222"/>
                <w:lang w:val="en-CA"/>
              </w:rPr>
              <w:t>成绩单&amp;证书</w:t>
            </w:r>
          </w:p>
        </w:tc>
        <w:tc>
          <w:tcPr>
            <w:tcW w:w="7948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ascii="等线" w:hAnsi="等线" w:eastAsia="等线" w:cstheme="minorHAnsi"/>
                <w:color w:val="222222"/>
                <w:lang w:val="en-CA"/>
              </w:rPr>
              <w:t>赴美学习前，请咨询中方学校教务处学分转换相关政策，通过本课程学习，学生将会获得UCI本科学分和证书。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7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baseline"/>
              <w:rPr>
                <w:rFonts w:ascii="等线" w:hAnsi="等线" w:eastAsia="等线" w:cstheme="minorHAnsi"/>
                <w:b/>
                <w:bCs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b/>
                <w:bCs/>
                <w:color w:val="222222"/>
                <w:lang w:val="en-CA"/>
              </w:rPr>
              <w:t>选课要求及建议</w:t>
            </w:r>
          </w:p>
        </w:tc>
        <w:tc>
          <w:tcPr>
            <w:tcW w:w="7948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b/>
                <w:bCs/>
                <w:color w:val="222222"/>
                <w:lang w:val="en-CA"/>
              </w:rPr>
              <w:t>法学院、商学院、护理学院下的课程不能选</w:t>
            </w: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，但是学生可以选修其他学院开设的商科、法学相关课程，选修相关课程需要符合背景要求；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目前，心理学、社会学、艺术、经济学这些课程的选课稍有难度；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hd w:val="clear" w:color="auto" w:fill="FFFF0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工程专业相关的E</w:t>
            </w:r>
            <w:r>
              <w:rPr>
                <w:rFonts w:ascii="等线" w:hAnsi="等线" w:eastAsia="等线" w:cstheme="minorHAnsi"/>
                <w:color w:val="222222"/>
                <w:lang w:val="en-CA"/>
              </w:rPr>
              <w:t>lectrical Engineering and Computer Science(EECS)</w:t>
            </w: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课程将会优先给国内合作大学3</w:t>
            </w:r>
            <w:r>
              <w:rPr>
                <w:rFonts w:ascii="等线" w:hAnsi="等线" w:eastAsia="等线" w:cstheme="minorHAnsi"/>
                <w:color w:val="222222"/>
                <w:lang w:val="en-CA"/>
              </w:rPr>
              <w:t>+2</w:t>
            </w: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项目的学生；根据实际情况，学生可以选择其它工程专业课程。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课程不保证选课成功，开始选课前需要至少准备4</w:t>
            </w:r>
            <w:r>
              <w:rPr>
                <w:rFonts w:ascii="等线" w:hAnsi="等线" w:eastAsia="等线" w:cstheme="minorHAnsi"/>
                <w:color w:val="222222"/>
                <w:lang w:val="en-CA"/>
              </w:rPr>
              <w:t>-5</w:t>
            </w: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门备选课程；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研究生在读的学生，第一学期只能修读1门研究生学分课程+</w:t>
            </w:r>
            <w:r>
              <w:rPr>
                <w:rFonts w:ascii="等线" w:hAnsi="等线" w:eastAsia="等线" w:cstheme="minorHAnsi"/>
                <w:color w:val="222222"/>
                <w:lang w:val="en-CA"/>
              </w:rPr>
              <w:t>2</w:t>
            </w: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本科或D</w:t>
            </w:r>
            <w:r>
              <w:rPr>
                <w:rFonts w:ascii="等线" w:hAnsi="等线" w:eastAsia="等线" w:cstheme="minorHAnsi"/>
                <w:color w:val="222222"/>
                <w:lang w:val="en-CA"/>
              </w:rPr>
              <w:t>CE</w:t>
            </w: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课程，第二学期可以根据第一期表现决定是否修1门以上的研究生学分。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选修研究生课程的学生需要满足前置课程要求，求并支付$</w:t>
            </w:r>
            <w:r>
              <w:rPr>
                <w:rFonts w:ascii="等线" w:hAnsi="等线" w:eastAsia="等线" w:cstheme="minorHAnsi"/>
                <w:color w:val="222222"/>
                <w:lang w:val="en-CA"/>
              </w:rPr>
              <w:t>500/</w:t>
            </w: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门研究生课程学费差额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选课前必须先联系辅导员，也必须参加新生Pre</w:t>
            </w:r>
            <w:r>
              <w:rPr>
                <w:rFonts w:ascii="等线" w:hAnsi="等线" w:eastAsia="等线" w:cstheme="minorHAnsi"/>
                <w:color w:val="222222"/>
                <w:lang w:val="en-CA"/>
              </w:rPr>
              <w:t>-O</w:t>
            </w: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rientation了解选课规则；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等线" w:hAnsi="等线" w:eastAsia="等线" w:cstheme="minorHAnsi"/>
          <w:bCs/>
          <w:color w:val="FF0000"/>
        </w:rPr>
      </w:pPr>
      <w:r>
        <w:rPr>
          <w:rFonts w:hint="eastAsia" w:ascii="等线" w:hAnsi="等线" w:eastAsia="等线" w:cstheme="minorHAnsi"/>
          <w:bCs/>
          <w:color w:val="FF0000"/>
        </w:rPr>
        <w:t>备注：</w:t>
      </w:r>
      <w:r>
        <w:rPr>
          <w:rFonts w:ascii="等线" w:hAnsi="等线" w:eastAsia="等线" w:cstheme="minorHAnsi"/>
          <w:bCs/>
          <w:color w:val="FF0000"/>
        </w:rPr>
        <w:t>ASAP</w:t>
      </w:r>
      <w:r>
        <w:rPr>
          <w:rFonts w:hint="eastAsia" w:ascii="等线" w:hAnsi="等线" w:eastAsia="等线" w:cstheme="minorHAnsi"/>
          <w:bCs/>
          <w:color w:val="FF0000"/>
        </w:rPr>
        <w:t>的offer不分研究生或者本科，选课的时候可以根据自身条件和需求选修本科或者研究生的课程。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Calibri" w:hAnsi="Courier New" w:eastAsia="宋体" w:cs="Courier New"/>
          <w:b/>
          <w:szCs w:val="21"/>
          <w:highlight w:val="yellow"/>
          <w:lang w:val="en-US" w:eastAsia="zh-CN"/>
        </w:rPr>
      </w:pPr>
      <w:r>
        <w:rPr>
          <w:rFonts w:hint="eastAsia" w:ascii="Calibri" w:hAnsi="Courier New" w:eastAsia="宋体" w:cs="Courier New"/>
          <w:b/>
          <w:szCs w:val="21"/>
          <w:highlight w:val="yellow"/>
          <w:lang w:val="en-US" w:eastAsia="zh-CN"/>
        </w:rPr>
        <w:t>项目内容、课程设计、授课教师介绍与项目时间安排详见附件1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default" w:ascii="Calibri" w:hAnsi="Courier New" w:eastAsia="宋体" w:cs="Courier New"/>
          <w:b/>
          <w:szCs w:val="21"/>
          <w:highlight w:val="yellow"/>
          <w:lang w:val="en-US" w:eastAsia="zh-CN"/>
        </w:rPr>
      </w:pPr>
      <w:r>
        <w:rPr>
          <w:rFonts w:hint="eastAsia" w:ascii="Calibri" w:hAnsi="Courier New" w:eastAsia="宋体" w:cs="Courier New"/>
          <w:b/>
          <w:szCs w:val="21"/>
          <w:highlight w:val="yellow"/>
          <w:lang w:val="en-US" w:eastAsia="zh-CN"/>
        </w:rPr>
        <w:t>申请</w:t>
      </w:r>
      <w:r>
        <w:rPr>
          <w:rFonts w:hint="default" w:ascii="Calibri" w:hAnsi="Courier New" w:eastAsia="宋体" w:cs="Courier New"/>
          <w:b/>
          <w:szCs w:val="21"/>
          <w:highlight w:val="yellow"/>
          <w:lang w:val="en-US" w:eastAsia="zh-CN"/>
        </w:rPr>
        <w:t>课程</w:t>
      </w:r>
      <w:r>
        <w:rPr>
          <w:rFonts w:hint="eastAsia" w:ascii="Calibri" w:hAnsi="Courier New" w:eastAsia="宋体" w:cs="Courier New"/>
          <w:b/>
          <w:szCs w:val="21"/>
          <w:highlight w:val="yellow"/>
          <w:lang w:val="en-US" w:eastAsia="zh-CN"/>
        </w:rPr>
        <w:t>学生的</w:t>
      </w:r>
      <w:r>
        <w:rPr>
          <w:rFonts w:hint="default" w:ascii="Calibri" w:hAnsi="Courier New" w:eastAsia="宋体" w:cs="Courier New"/>
          <w:b/>
          <w:szCs w:val="21"/>
          <w:highlight w:val="yellow"/>
          <w:lang w:val="en-US" w:eastAsia="zh-CN"/>
        </w:rPr>
        <w:t>具体</w:t>
      </w:r>
      <w:r>
        <w:rPr>
          <w:rFonts w:hint="eastAsia" w:ascii="Calibri" w:hAnsi="Courier New" w:eastAsia="宋体" w:cs="Courier New"/>
          <w:b/>
          <w:szCs w:val="21"/>
          <w:highlight w:val="yellow"/>
          <w:lang w:val="en-US" w:eastAsia="zh-CN"/>
        </w:rPr>
        <w:t>学术及语言</w:t>
      </w:r>
      <w:r>
        <w:rPr>
          <w:rFonts w:hint="default" w:ascii="Calibri" w:hAnsi="Courier New" w:eastAsia="宋体" w:cs="Courier New"/>
          <w:b/>
          <w:szCs w:val="21"/>
          <w:highlight w:val="yellow"/>
          <w:lang w:val="en-US" w:eastAsia="zh-CN"/>
        </w:rPr>
        <w:t>要求</w:t>
      </w:r>
      <w:r>
        <w:rPr>
          <w:rFonts w:hint="eastAsia" w:ascii="Calibri" w:hAnsi="Courier New" w:eastAsia="宋体" w:cs="Courier New"/>
          <w:b/>
          <w:szCs w:val="21"/>
          <w:highlight w:val="yellow"/>
          <w:lang w:val="en-US" w:eastAsia="zh-CN"/>
        </w:rPr>
        <w:t>及申请流程</w:t>
      </w:r>
      <w:r>
        <w:rPr>
          <w:rFonts w:hint="default" w:ascii="Calibri" w:hAnsi="Courier New" w:eastAsia="宋体" w:cs="Courier New"/>
          <w:b/>
          <w:szCs w:val="21"/>
          <w:highlight w:val="yellow"/>
          <w:lang w:val="en-US" w:eastAsia="zh-CN"/>
        </w:rPr>
        <w:t>请</w:t>
      </w:r>
      <w:r>
        <w:rPr>
          <w:rFonts w:hint="eastAsia" w:ascii="Calibri" w:hAnsi="Courier New" w:eastAsia="宋体" w:cs="Courier New"/>
          <w:b/>
          <w:szCs w:val="21"/>
          <w:highlight w:val="yellow"/>
          <w:lang w:val="en-US" w:eastAsia="zh-CN"/>
        </w:rPr>
        <w:t>仔细阅读</w:t>
      </w:r>
      <w:r>
        <w:rPr>
          <w:rFonts w:hint="default" w:ascii="Calibri" w:hAnsi="Courier New" w:eastAsia="宋体" w:cs="Courier New"/>
          <w:b/>
          <w:szCs w:val="21"/>
          <w:highlight w:val="yellow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CA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、申请资格与条件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1.申请人目前应为我校在读的优秀全日制本科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大二及以上</w:t>
      </w:r>
      <w:r>
        <w:rPr>
          <w:rFonts w:hint="eastAsia" w:ascii="宋体" w:hAnsi="宋体" w:eastAsia="宋体" w:cs="宋体"/>
          <w:kern w:val="0"/>
          <w:sz w:val="24"/>
          <w:szCs w:val="24"/>
        </w:rPr>
        <w:t>学生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专业可根据不同项目方向进行选择，具体详见附件1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2．政治素质好，坚持四项基本原则，热爱社会主义祖国，无违法违纪记录。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3.学习成绩优异，具有较强的、扎实的专业理论基础和实践能力，平均绩点达到 2.5 以上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建议</w:t>
      </w:r>
      <w:r>
        <w:rPr>
          <w:rFonts w:hint="eastAsia" w:ascii="宋体" w:hAnsi="宋体" w:eastAsia="宋体" w:cs="宋体"/>
          <w:kern w:val="0"/>
          <w:sz w:val="24"/>
          <w:szCs w:val="24"/>
          <w:lang w:val="en-CA" w:eastAsia="zh-CN"/>
        </w:rPr>
        <w:t>GPA 3.0以上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</w:rPr>
        <w:t>英语水平证明（托福、雅思、大学四六级或国内学校出具的官方信函）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5.身心健康，能圆满完成学习任务。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</w:rPr>
        <w:t>已交足我校规定的各项费用，具有一定的经济能力。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、选拔程序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1．采取“个人申请、学院推荐、专家评审、择优录取”的方式进行选拔。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2．申请人应向所在学院提交以下材料：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（1）《南京邮电大学本科生海外访学申请表》（附件2）；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（2）英语水平证明及复印件；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（3）学术科研能力证明材料及复印件（包括论文发表、参与竞赛、项目等）；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（4）获奖证书及复印件。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3．</w:t>
      </w:r>
      <w:bookmarkStart w:id="1" w:name="OLE_LINK3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夏季项目</w:t>
      </w:r>
      <w:r>
        <w:rPr>
          <w:rFonts w:hint="eastAsia" w:ascii="宋体" w:hAnsi="宋体" w:eastAsia="宋体" w:cs="宋体"/>
          <w:kern w:val="0"/>
          <w:sz w:val="24"/>
          <w:szCs w:val="24"/>
        </w:rPr>
        <w:t>申请人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请于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4月2日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前</w:t>
      </w:r>
      <w:r>
        <w:rPr>
          <w:rFonts w:hint="eastAsia" w:ascii="宋体" w:hAnsi="宋体" w:eastAsia="宋体" w:cs="宋体"/>
          <w:kern w:val="0"/>
          <w:sz w:val="24"/>
          <w:szCs w:val="24"/>
        </w:rPr>
        <w:t>将申请材料交至各学院，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秋季项目申请人请于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6月11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日前将申请材料交至各学院</w:t>
      </w:r>
      <w:bookmarkEnd w:id="1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，申请人</w:t>
      </w:r>
      <w:r>
        <w:rPr>
          <w:rFonts w:hint="eastAsia" w:ascii="宋体" w:hAnsi="宋体" w:eastAsia="宋体" w:cs="宋体"/>
          <w:kern w:val="0"/>
          <w:sz w:val="24"/>
          <w:szCs w:val="24"/>
        </w:rPr>
        <w:t>学院根据申请资格与条件对申请人进行筛选、排序并填写《南京邮电大学本科生海外访学申请汇总表》（附件3），于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6月12日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前将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夏季项目、秋季项目</w:t>
      </w:r>
      <w:r>
        <w:rPr>
          <w:rFonts w:hint="eastAsia" w:ascii="宋体" w:hAnsi="宋体" w:eastAsia="宋体" w:cs="宋体"/>
          <w:kern w:val="0"/>
          <w:sz w:val="24"/>
          <w:szCs w:val="24"/>
        </w:rPr>
        <w:t>候选人申请材料及汇总表交至教务处实践教学科，逾期不递交材料的学院作自动放弃处理。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4．教务处会同相关部门，共同组织专家进行评审，确定我校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参加</w:t>
      </w:r>
      <w:r>
        <w:rPr>
          <w:rFonts w:hint="eastAsia" w:ascii="宋体" w:hAnsi="宋体" w:eastAsia="宋体" w:cs="宋体"/>
          <w:kern w:val="0"/>
          <w:sz w:val="24"/>
          <w:szCs w:val="24"/>
        </w:rPr>
        <w:t>访学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kern w:val="0"/>
          <w:sz w:val="24"/>
          <w:szCs w:val="24"/>
        </w:rPr>
        <w:t>学生名单，并进行公示。</w:t>
      </w:r>
    </w:p>
    <w:p>
      <w:pPr>
        <w:widowControl/>
        <w:spacing w:line="44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tbl>
      <w:tblPr>
        <w:tblStyle w:val="5"/>
        <w:tblpPr w:leftFromText="180" w:rightFromText="180" w:vertAnchor="text" w:horzAnchor="page" w:tblpX="1155" w:tblpY="460"/>
        <w:tblOverlap w:val="never"/>
        <w:tblW w:w="10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18"/>
        <w:gridCol w:w="2976"/>
        <w:gridCol w:w="1701"/>
        <w:gridCol w:w="1560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7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等线" w:hAnsi="等线" w:eastAsia="等线" w:cstheme="minorHAnsi"/>
                <w:b/>
                <w:bCs/>
                <w:sz w:val="18"/>
                <w:szCs w:val="18"/>
              </w:rPr>
            </w:pPr>
            <w:bookmarkStart w:id="2" w:name="OLE_LINK1"/>
            <w:r>
              <w:rPr>
                <w:rFonts w:hint="eastAsia" w:ascii="等线" w:hAnsi="等线" w:eastAsia="等线" w:cstheme="minorHAnsi"/>
                <w:b/>
                <w:bCs/>
                <w:sz w:val="18"/>
                <w:szCs w:val="18"/>
              </w:rPr>
              <w:t>院校</w:t>
            </w:r>
          </w:p>
        </w:tc>
        <w:tc>
          <w:tcPr>
            <w:tcW w:w="141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等线" w:hAnsi="等线" w:eastAsia="等线" w:cstheme="minorHAnsi"/>
                <w:b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/>
                <w:bCs/>
                <w:sz w:val="18"/>
                <w:szCs w:val="18"/>
              </w:rPr>
              <w:t>项目方向</w:t>
            </w:r>
          </w:p>
        </w:tc>
        <w:tc>
          <w:tcPr>
            <w:tcW w:w="297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等线" w:hAnsi="等线" w:eastAsia="等线" w:cstheme="minorHAnsi"/>
                <w:b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/>
                <w:bCs/>
                <w:sz w:val="18"/>
                <w:szCs w:val="18"/>
              </w:rPr>
              <w:t>语言以及成绩要求</w:t>
            </w:r>
          </w:p>
        </w:tc>
        <w:tc>
          <w:tcPr>
            <w:tcW w:w="17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等线" w:hAnsi="等线" w:eastAsia="等线" w:cstheme="minorHAnsi"/>
                <w:b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/>
                <w:bCs/>
                <w:sz w:val="18"/>
                <w:szCs w:val="18"/>
              </w:rPr>
              <w:t>开学日期</w:t>
            </w:r>
          </w:p>
        </w:tc>
        <w:tc>
          <w:tcPr>
            <w:tcW w:w="156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等线" w:hAnsi="等线" w:eastAsia="等线" w:cstheme="minorHAnsi"/>
                <w:b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/>
                <w:bCs/>
                <w:sz w:val="18"/>
                <w:szCs w:val="18"/>
              </w:rPr>
              <w:t>申请截止日期</w:t>
            </w:r>
          </w:p>
        </w:tc>
        <w:tc>
          <w:tcPr>
            <w:tcW w:w="130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等线" w:hAnsi="等线" w:eastAsia="等线" w:cstheme="minorHAnsi"/>
                <w:b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/>
                <w:bCs/>
                <w:sz w:val="18"/>
                <w:szCs w:val="18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加州大学欧文分校</w:t>
            </w:r>
          </w:p>
        </w:tc>
        <w:tc>
          <w:tcPr>
            <w:tcW w:w="141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A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SAP-G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eneral</w:t>
            </w:r>
          </w:p>
        </w:tc>
        <w:tc>
          <w:tcPr>
            <w:tcW w:w="297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托福8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0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、雅思6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.5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、D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uolingo 105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、C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ET-4 493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、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CET-6 450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GPA 3.0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以上，完成一年本科课程</w:t>
            </w:r>
          </w:p>
        </w:tc>
        <w:tc>
          <w:tcPr>
            <w:tcW w:w="17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/>
                <w:bCs w:val="0"/>
                <w:sz w:val="18"/>
                <w:szCs w:val="18"/>
                <w:highlight w:val="yellow"/>
              </w:rPr>
              <w:t>秋季：9月1</w:t>
            </w:r>
            <w:r>
              <w:rPr>
                <w:rFonts w:ascii="等线" w:hAnsi="等线" w:eastAsia="等线" w:cstheme="minorHAnsi"/>
                <w:b/>
                <w:bCs w:val="0"/>
                <w:sz w:val="18"/>
                <w:szCs w:val="18"/>
                <w:highlight w:val="yellow"/>
              </w:rPr>
              <w:t>8</w:t>
            </w:r>
            <w:r>
              <w:rPr>
                <w:rFonts w:hint="eastAsia" w:ascii="等线" w:hAnsi="等线" w:eastAsia="等线" w:cstheme="minorHAnsi"/>
                <w:b/>
                <w:bCs w:val="0"/>
                <w:sz w:val="18"/>
                <w:szCs w:val="18"/>
                <w:highlight w:val="yellow"/>
              </w:rPr>
              <w:t>日</w:t>
            </w:r>
          </w:p>
        </w:tc>
        <w:tc>
          <w:tcPr>
            <w:tcW w:w="156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/>
                <w:bCs w:val="0"/>
                <w:sz w:val="18"/>
                <w:szCs w:val="18"/>
                <w:highlight w:val="yellow"/>
              </w:rPr>
              <w:t>秋季：7月1</w:t>
            </w:r>
            <w:r>
              <w:rPr>
                <w:rFonts w:ascii="等线" w:hAnsi="等线" w:eastAsia="等线" w:cstheme="minorHAnsi"/>
                <w:b/>
                <w:bCs w:val="0"/>
                <w:sz w:val="18"/>
                <w:szCs w:val="18"/>
                <w:highlight w:val="yellow"/>
              </w:rPr>
              <w:t>8</w:t>
            </w:r>
            <w:r>
              <w:rPr>
                <w:rFonts w:hint="eastAsia" w:ascii="等线" w:hAnsi="等线" w:eastAsia="等线" w:cstheme="minorHAnsi"/>
                <w:b/>
                <w:bCs w:val="0"/>
                <w:sz w:val="18"/>
                <w:szCs w:val="18"/>
                <w:highlight w:val="yellow"/>
              </w:rPr>
              <w:t>日</w:t>
            </w:r>
          </w:p>
        </w:tc>
        <w:tc>
          <w:tcPr>
            <w:tcW w:w="130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/>
                <w:bCs w:val="0"/>
                <w:sz w:val="18"/>
                <w:szCs w:val="18"/>
              </w:rPr>
              <w:t>课程费用： $8,200 /学期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加州大学欧文分校</w:t>
            </w:r>
          </w:p>
        </w:tc>
        <w:tc>
          <w:tcPr>
            <w:tcW w:w="141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A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SAP-CSL</w:t>
            </w:r>
          </w:p>
        </w:tc>
        <w:tc>
          <w:tcPr>
            <w:tcW w:w="297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2个学期：托福7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1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-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79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3个学期：托福6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.1-70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GPA 3.0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以上，完成一年本科课程</w:t>
            </w:r>
          </w:p>
        </w:tc>
        <w:tc>
          <w:tcPr>
            <w:tcW w:w="17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等线" w:hAnsi="等线" w:eastAsia="等线" w:cstheme="minorHAnsi"/>
                <w:b/>
                <w:bCs w:val="0"/>
                <w:sz w:val="18"/>
                <w:szCs w:val="18"/>
                <w:highlight w:val="yellow"/>
              </w:rPr>
            </w:pPr>
            <w:r>
              <w:rPr>
                <w:rFonts w:hint="eastAsia" w:ascii="等线" w:hAnsi="等线" w:eastAsia="等线" w:cstheme="minorHAnsi"/>
                <w:b/>
                <w:bCs w:val="0"/>
                <w:sz w:val="18"/>
                <w:szCs w:val="18"/>
                <w:highlight w:val="yellow"/>
              </w:rPr>
              <w:t>夏季：6月1</w:t>
            </w:r>
            <w:r>
              <w:rPr>
                <w:rFonts w:ascii="等线" w:hAnsi="等线" w:eastAsia="等线" w:cstheme="minorHAnsi"/>
                <w:b/>
                <w:bCs w:val="0"/>
                <w:sz w:val="18"/>
                <w:szCs w:val="18"/>
                <w:highlight w:val="yellow"/>
              </w:rPr>
              <w:t>8</w:t>
            </w:r>
            <w:r>
              <w:rPr>
                <w:rFonts w:hint="eastAsia" w:ascii="等线" w:hAnsi="等线" w:eastAsia="等线" w:cstheme="minorHAnsi"/>
                <w:b/>
                <w:bCs w:val="0"/>
                <w:sz w:val="18"/>
                <w:szCs w:val="18"/>
                <w:highlight w:val="yellow"/>
              </w:rPr>
              <w:t>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等线" w:hAnsi="等线" w:eastAsia="等线" w:cstheme="minorHAnsi"/>
                <w:bCs/>
                <w:sz w:val="18"/>
                <w:szCs w:val="18"/>
                <w:highlight w:val="yellow"/>
              </w:rPr>
            </w:pPr>
            <w:r>
              <w:rPr>
                <w:rFonts w:hint="eastAsia" w:ascii="等线" w:hAnsi="等线" w:eastAsia="等线" w:cstheme="minorHAnsi"/>
                <w:b/>
                <w:bCs w:val="0"/>
                <w:sz w:val="18"/>
                <w:szCs w:val="18"/>
                <w:highlight w:val="yellow"/>
              </w:rPr>
              <w:t>秋季：9月2</w:t>
            </w:r>
            <w:r>
              <w:rPr>
                <w:rFonts w:ascii="等线" w:hAnsi="等线" w:eastAsia="等线" w:cstheme="minorHAnsi"/>
                <w:b/>
                <w:bCs w:val="0"/>
                <w:sz w:val="18"/>
                <w:szCs w:val="18"/>
                <w:highlight w:val="yellow"/>
              </w:rPr>
              <w:t>5</w:t>
            </w:r>
            <w:r>
              <w:rPr>
                <w:rFonts w:hint="eastAsia" w:ascii="等线" w:hAnsi="等线" w:eastAsia="等线" w:cstheme="minorHAnsi"/>
                <w:b/>
                <w:bCs w:val="0"/>
                <w:sz w:val="18"/>
                <w:szCs w:val="18"/>
                <w:highlight w:val="yellow"/>
              </w:rPr>
              <w:t>日</w:t>
            </w:r>
          </w:p>
        </w:tc>
        <w:tc>
          <w:tcPr>
            <w:tcW w:w="156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等线" w:hAnsi="等线" w:eastAsia="等线" w:cstheme="minorHAnsi"/>
                <w:b/>
                <w:bCs w:val="0"/>
                <w:sz w:val="18"/>
                <w:szCs w:val="18"/>
                <w:highlight w:val="yellow"/>
              </w:rPr>
            </w:pPr>
            <w:r>
              <w:rPr>
                <w:rFonts w:hint="eastAsia" w:ascii="等线" w:hAnsi="等线" w:eastAsia="等线" w:cstheme="minorHAnsi"/>
                <w:b/>
                <w:bCs w:val="0"/>
                <w:sz w:val="18"/>
                <w:szCs w:val="18"/>
                <w:highlight w:val="yellow"/>
              </w:rPr>
              <w:t>夏季：4月1</w:t>
            </w:r>
            <w:r>
              <w:rPr>
                <w:rFonts w:ascii="等线" w:hAnsi="等线" w:eastAsia="等线" w:cstheme="minorHAnsi"/>
                <w:b/>
                <w:bCs w:val="0"/>
                <w:sz w:val="18"/>
                <w:szCs w:val="18"/>
                <w:highlight w:val="yellow"/>
              </w:rPr>
              <w:t>8</w:t>
            </w:r>
            <w:r>
              <w:rPr>
                <w:rFonts w:hint="eastAsia" w:ascii="等线" w:hAnsi="等线" w:eastAsia="等线" w:cstheme="minorHAnsi"/>
                <w:b/>
                <w:bCs w:val="0"/>
                <w:sz w:val="18"/>
                <w:szCs w:val="18"/>
                <w:highlight w:val="yellow"/>
              </w:rPr>
              <w:t>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等线" w:hAnsi="等线" w:eastAsia="等线" w:cstheme="minorHAnsi"/>
                <w:bCs/>
                <w:sz w:val="18"/>
                <w:szCs w:val="18"/>
                <w:highlight w:val="yellow"/>
              </w:rPr>
            </w:pPr>
            <w:r>
              <w:rPr>
                <w:rFonts w:hint="eastAsia" w:ascii="等线" w:hAnsi="等线" w:eastAsia="等线" w:cstheme="minorHAnsi"/>
                <w:b/>
                <w:bCs w:val="0"/>
                <w:sz w:val="18"/>
                <w:szCs w:val="18"/>
                <w:highlight w:val="yellow"/>
              </w:rPr>
              <w:t>秋季：7月2</w:t>
            </w:r>
            <w:r>
              <w:rPr>
                <w:rFonts w:ascii="等线" w:hAnsi="等线" w:eastAsia="等线" w:cstheme="minorHAnsi"/>
                <w:b/>
                <w:bCs w:val="0"/>
                <w:sz w:val="18"/>
                <w:szCs w:val="18"/>
                <w:highlight w:val="yellow"/>
              </w:rPr>
              <w:t>5</w:t>
            </w:r>
            <w:r>
              <w:rPr>
                <w:rFonts w:hint="eastAsia" w:ascii="等线" w:hAnsi="等线" w:eastAsia="等线" w:cstheme="minorHAnsi"/>
                <w:b/>
                <w:bCs w:val="0"/>
                <w:sz w:val="18"/>
                <w:szCs w:val="18"/>
                <w:highlight w:val="yellow"/>
              </w:rPr>
              <w:t>日</w:t>
            </w:r>
          </w:p>
        </w:tc>
        <w:tc>
          <w:tcPr>
            <w:tcW w:w="130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ascii="等线" w:hAnsi="等线" w:eastAsia="等线" w:cstheme="minorHAnsi"/>
                <w:b/>
                <w:bCs w:val="0"/>
                <w:sz w:val="18"/>
                <w:szCs w:val="18"/>
              </w:rPr>
              <w:t>2</w:t>
            </w:r>
            <w:r>
              <w:rPr>
                <w:rFonts w:hint="eastAsia" w:ascii="等线" w:hAnsi="等线" w:eastAsia="等线" w:cstheme="minorHAnsi"/>
                <w:b/>
                <w:bCs w:val="0"/>
                <w:sz w:val="18"/>
                <w:szCs w:val="18"/>
              </w:rPr>
              <w:t>学期课程费用： $</w:t>
            </w:r>
            <w:r>
              <w:rPr>
                <w:rFonts w:ascii="等线" w:hAnsi="等线" w:eastAsia="等线" w:cstheme="minorHAnsi"/>
                <w:b/>
                <w:bCs w:val="0"/>
                <w:sz w:val="18"/>
                <w:szCs w:val="18"/>
              </w:rPr>
              <w:t>16</w:t>
            </w:r>
            <w:r>
              <w:rPr>
                <w:rFonts w:hint="eastAsia" w:ascii="等线" w:hAnsi="等线" w:eastAsia="等线" w:cstheme="minorHAnsi"/>
                <w:b/>
                <w:bCs w:val="0"/>
                <w:sz w:val="18"/>
                <w:szCs w:val="18"/>
              </w:rPr>
              <w:t>，4</w:t>
            </w:r>
            <w:r>
              <w:rPr>
                <w:rFonts w:ascii="等线" w:hAnsi="等线" w:eastAsia="等线" w:cstheme="minorHAnsi"/>
                <w:b/>
                <w:bCs w:val="0"/>
                <w:sz w:val="18"/>
                <w:szCs w:val="18"/>
              </w:rPr>
              <w:t>00</w:t>
            </w:r>
          </w:p>
        </w:tc>
      </w:tr>
      <w:bookmarkEnd w:id="2"/>
    </w:tbl>
    <w:p>
      <w:pPr>
        <w:widowControl/>
        <w:numPr>
          <w:ilvl w:val="0"/>
          <w:numId w:val="0"/>
        </w:numPr>
        <w:spacing w:line="440" w:lineRule="atLeast"/>
        <w:ind w:firstLine="482" w:firstLineChars="200"/>
        <w:jc w:val="left"/>
        <w:rPr>
          <w:rFonts w:hint="default" w:ascii="宋体" w:hAnsi="宋体" w:eastAsia="宋体" w:cs="宋体"/>
          <w:b/>
          <w:bCs/>
          <w:kern w:val="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费用情况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yellow"/>
          <w:lang w:val="en-US" w:eastAsia="zh-CN"/>
        </w:rPr>
        <w:t>具体费用情况请咨询项目方负责人，见附件1</w:t>
      </w:r>
    </w:p>
    <w:p>
      <w:pPr>
        <w:widowControl/>
        <w:spacing w:line="440" w:lineRule="atLeast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yellow"/>
          <w:lang w:eastAsia="zh-CN"/>
        </w:rPr>
      </w:pPr>
    </w:p>
    <w:p>
      <w:pPr>
        <w:widowControl/>
        <w:numPr>
          <w:ilvl w:val="0"/>
          <w:numId w:val="3"/>
        </w:numPr>
        <w:spacing w:line="440" w:lineRule="atLeast"/>
        <w:ind w:firstLine="482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其他</w:t>
      </w:r>
    </w:p>
    <w:p>
      <w:pPr>
        <w:widowControl/>
        <w:numPr>
          <w:numId w:val="0"/>
        </w:numPr>
        <w:spacing w:line="440" w:lineRule="atLeas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Calibri" w:hAnsi="Calibri" w:eastAsia="宋体" w:cs="宋体"/>
          <w:kern w:val="0"/>
          <w:sz w:val="24"/>
          <w:szCs w:val="24"/>
        </w:rPr>
        <w:t>1. </w:t>
      </w:r>
      <w:r>
        <w:rPr>
          <w:rFonts w:hint="eastAsia" w:ascii="宋体" w:hAnsi="宋体" w:eastAsia="宋体" w:cs="宋体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</w:p>
    <w:p>
      <w:pPr>
        <w:widowControl/>
        <w:spacing w:line="44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国际合作交流处：李老师</w:t>
      </w:r>
      <w:r>
        <w:rPr>
          <w:rFonts w:ascii="Calibri" w:hAnsi="Calibri" w:eastAsia="宋体" w:cs="宋体"/>
          <w:kern w:val="0"/>
          <w:sz w:val="24"/>
          <w:szCs w:val="24"/>
        </w:rPr>
        <w:t> </w:t>
      </w:r>
      <w:r>
        <w:rPr>
          <w:rFonts w:hint="eastAsia" w:ascii="Arial" w:hAnsi="Arial" w:eastAsia="宋体" w:cs="Arial"/>
          <w:i w:val="0"/>
          <w:caps w:val="0"/>
          <w:color w:val="000000"/>
          <w:spacing w:val="0"/>
          <w:sz w:val="21"/>
          <w:szCs w:val="21"/>
          <w:lang w:val="en-US" w:eastAsia="zh-CN"/>
        </w:rPr>
        <w:t>85866716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</w:p>
    <w:p>
      <w:pPr>
        <w:widowControl/>
        <w:spacing w:line="44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教务处：于老师</w:t>
      </w:r>
      <w:r>
        <w:rPr>
          <w:rFonts w:ascii="Calibri" w:hAnsi="Calibri" w:eastAsia="宋体" w:cs="宋体"/>
          <w:kern w:val="0"/>
          <w:sz w:val="24"/>
          <w:szCs w:val="24"/>
        </w:rPr>
        <w:t>85866258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spacing w:line="44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2. </w:t>
      </w:r>
      <w:r>
        <w:rPr>
          <w:rFonts w:hint="eastAsia" w:ascii="宋体" w:hAnsi="宋体" w:eastAsia="宋体" w:cs="宋体"/>
          <w:kern w:val="0"/>
          <w:sz w:val="24"/>
          <w:szCs w:val="24"/>
        </w:rPr>
        <w:t>被录取学生需交纳材料，另行通知。</w:t>
      </w:r>
    </w:p>
    <w:p>
      <w:pPr>
        <w:widowControl/>
        <w:spacing w:line="440" w:lineRule="atLeast"/>
        <w:ind w:firstLine="4320" w:firstLineChars="18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40" w:lineRule="atLeast"/>
        <w:ind w:firstLine="5040" w:firstLineChars="21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教务处</w:t>
      </w:r>
    </w:p>
    <w:p>
      <w:pPr>
        <w:widowControl/>
        <w:spacing w:line="440" w:lineRule="atLeast"/>
        <w:ind w:firstLine="4440" w:firstLineChars="18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20</w:t>
      </w:r>
      <w:r>
        <w:rPr>
          <w:rFonts w:hint="eastAsia" w:ascii="Calibri" w:hAnsi="Calibri" w:eastAsia="宋体" w:cs="宋体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Calibri" w:hAnsi="Calibri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Calibri" w:hAnsi="Calibri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p>
      <w:pPr>
        <w:rPr>
          <w:rFonts w:hint="eastAsia" w:ascii="宋体" w:hAnsi="宋体" w:eastAsia="宋体" w:cs="宋体"/>
          <w:b/>
          <w:bCs/>
          <w:color w:val="0673C8"/>
          <w:kern w:val="0"/>
          <w:sz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E41B598-61E0-4845-B388-AAAF9024A9D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5EB99CD5-2CB9-4270-894C-6C971BFEB37D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5A94C603-C36D-412B-A94A-A9AE262FEDF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B903C891-DAAB-4E4C-ACCE-DD230D044BA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8F7E54"/>
    <w:multiLevelType w:val="multilevel"/>
    <w:tmpl w:val="138F7E5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1F36DC"/>
    <w:multiLevelType w:val="singleLevel"/>
    <w:tmpl w:val="3C1F36D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EF52A4F"/>
    <w:multiLevelType w:val="multilevel"/>
    <w:tmpl w:val="5EF52A4F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Yzk2NWQ5Yjk3N2M3NmUwNTFlY2MxMTEwODE4M2UifQ=="/>
    <w:docVar w:name="KSO_WPS_MARK_KEY" w:val="a58974e8-417a-4f14-9e0c-f8742882fcf7"/>
  </w:docVars>
  <w:rsids>
    <w:rsidRoot w:val="673041E5"/>
    <w:rsid w:val="00471835"/>
    <w:rsid w:val="046E7787"/>
    <w:rsid w:val="04720599"/>
    <w:rsid w:val="058229D9"/>
    <w:rsid w:val="05B62994"/>
    <w:rsid w:val="05E75C70"/>
    <w:rsid w:val="0CA13233"/>
    <w:rsid w:val="0D852B51"/>
    <w:rsid w:val="138B74B1"/>
    <w:rsid w:val="25FB1F49"/>
    <w:rsid w:val="269D000F"/>
    <w:rsid w:val="2F375037"/>
    <w:rsid w:val="33F4796C"/>
    <w:rsid w:val="35AF76E1"/>
    <w:rsid w:val="3A0D261A"/>
    <w:rsid w:val="3E480B30"/>
    <w:rsid w:val="41F00B54"/>
    <w:rsid w:val="461B0C51"/>
    <w:rsid w:val="48B34C48"/>
    <w:rsid w:val="499A2DFD"/>
    <w:rsid w:val="552A1BC8"/>
    <w:rsid w:val="614E6EF1"/>
    <w:rsid w:val="64B06A31"/>
    <w:rsid w:val="673041E5"/>
    <w:rsid w:val="6CF41704"/>
    <w:rsid w:val="6D5B17B0"/>
    <w:rsid w:val="6DFE3435"/>
    <w:rsid w:val="6F173018"/>
    <w:rsid w:val="6FE56C72"/>
    <w:rsid w:val="7B694BFB"/>
    <w:rsid w:val="7F5B0CFF"/>
    <w:rsid w:val="7FC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jc w:val="left"/>
    </w:pPr>
    <w:rPr>
      <w:rFonts w:ascii="Calibri" w:hAnsi="Courier New" w:eastAsia="宋体" w:cs="Courier New"/>
      <w:szCs w:val="21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normaltextrun"/>
    <w:basedOn w:val="6"/>
    <w:qFormat/>
    <w:uiPriority w:val="0"/>
  </w:style>
  <w:style w:type="paragraph" w:customStyle="1" w:styleId="11">
    <w:name w:val="contentpasted1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12">
    <w:name w:val="contentpasted11"/>
    <w:basedOn w:val="6"/>
    <w:qFormat/>
    <w:uiPriority w:val="0"/>
  </w:style>
  <w:style w:type="character" w:customStyle="1" w:styleId="13">
    <w:name w:val="contentpasted3"/>
    <w:basedOn w:val="6"/>
    <w:qFormat/>
    <w:uiPriority w:val="0"/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2438</Words>
  <Characters>2763</Characters>
  <Lines>0</Lines>
  <Paragraphs>0</Paragraphs>
  <TotalTime>18</TotalTime>
  <ScaleCrop>false</ScaleCrop>
  <LinksUpToDate>false</LinksUpToDate>
  <CharactersWithSpaces>2797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2022-03-21T00:45:00Z</dcterms:created>
  <dc:creator>李巍</dc:creator>
  <cp:lastModifiedBy>于华</cp:lastModifiedBy>
  <cp:lastPrinted>2024-03-05T00:12:11Z</cp:lastPrinted>
  <dcterms:modified xsi:type="dcterms:W3CDTF">2024-03-05T00:15:09Z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C1C6526C7E7A46E688A30252C6807164</vt:lpwstr>
  </property>
</Properties>
</file>