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tLeast"/>
        <w:jc w:val="center"/>
        <w:textAlignment w:val="auto"/>
        <w:rPr>
          <w:rFonts w:hint="eastAsia" w:ascii="宋体" w:hAnsi="宋体" w:eastAsia="宋体" w:cs="宋体"/>
          <w:b/>
          <w:bCs/>
          <w:color w:val="0673C8"/>
          <w:kern w:val="0"/>
          <w:sz w:val="30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0"/>
        </w:rPr>
        <w:t>关于2023-2024学年美国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lang w:val="en-CA" w:eastAsia="zh-CN"/>
        </w:rPr>
        <w:t>加州大学欧文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lang w:val="en-US" w:eastAsia="zh-CN"/>
        </w:rPr>
        <w:t>分校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0"/>
        </w:rPr>
        <w:t>访学研修学分课程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lang w:val="en-US" w:eastAsia="zh-CN"/>
        </w:rPr>
        <w:t>春季学期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lang w:val="en-US" w:eastAsia="zh-CN"/>
        </w:rPr>
        <w:t>项目报名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0"/>
        </w:rPr>
        <w:t>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我校与美国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加州大学欧文分校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友好协商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欧文分校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将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继续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为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我校学生提供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访学研修学期（学分）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课程，让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同学们和来自全球的优秀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学生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共同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CA" w:eastAsia="zh-CN"/>
        </w:rPr>
        <w:t>深度探索和学习前沿的研究领域知识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CA"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适应美国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顶尖名校的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学习风格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同时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浸入式地感受美国的文化和学术氛围。现启动申请工作。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一、欧文分校简介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 w:firstLineChars="150"/>
        <w:jc w:val="left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加州大学欧文分校(简称UCI)，创立于1965年，位于南加州的橘子郡，是加州大学系统综合实力最为强劲的分校之一，它多年都位列于世界“百强大学”，是世界顶尖研究型大学，同时也是“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instrText xml:space="preserve"> HYPERLINK "https://baike.baidu.com/item/%E5%85%AC%E7%AB%8B%E5%B8%B8%E6%98%A5%E8%97%A4/2522862" \t "_blank" </w:instrTex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公立常春藤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”盟校成员。2021年USNEWS综合排名78位，美国公立学校排名第7位。UCI科研实力非常卓越，曾在物理和化学领域获得3个诺贝尔奖，化学、生物、物理、商科、工程、计算机、法律、经济和政治科学是其强势专业，均在全美排名前50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 w:firstLineChars="150"/>
        <w:jc w:val="left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/>
        <w:jc w:val="left"/>
        <w:textAlignment w:val="auto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二、项目简介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CA" w:eastAsia="zh-CN"/>
        </w:rPr>
        <w:t>Undergraduate Academic Study Abroad Program (U-ASAP) 是加州大学欧文分校面向全球优等本科学生开展的学术交流项目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CA"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是一个已经面向全世界高校开设多年的【特色】学术交流课程。得益于其大学的学术声誉与全美最安全城市“美名”，每年有来自全世界100多个国家及地区的学生来到UCI进行交流学习，多年来获得了世界各地合作大学伙伴与优秀学子的一致好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学生通过所在学校以及UCI的共同选拔后，在为期1-3学期时间里，学生会选择自己最感兴趣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同时符合自己学术目标的课程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师从UCI大学里的知名教授，并且和其它本地学生一起学习、实验室科研、讨论和发表论文。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顺利完成课程后，学生将会获得UCI开具的结业证书和成绩单，经中方大学处，或者院系评估后认可的学分转为中方大学学分。针对国内高校渴望去UCI交流，但是语言成绩尚未达标的本科和研究生学生，UCI还专门开设了个性化语言兼学分课程（Customized Success Language，CSL），学生可以根据自身的语言成绩选择不同时长的课程（托福71-79的学生可以申请2学期；托福61-70的学生可以申请3学期），学生在入学后会参加语言测试，分班到不同级别的ESL课程，语言成绩达标后开始修学分课程。如果学生无语言成绩，交完材料和申请费后学校会安排ESL线上英语测试，测试成绩达到Level 5可以入读9个月CSL， 达到Level 6可以入读6个月CSL.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ascii="等线" w:hAnsi="等线" w:eastAsia="等线" w:cstheme="minorHAnsi"/>
          <w:b/>
          <w:bCs/>
          <w:sz w:val="24"/>
          <w:szCs w:val="24"/>
          <w:lang w:val="en-CA"/>
        </w:rPr>
      </w:pPr>
      <w:r>
        <w:rPr>
          <w:rFonts w:ascii="等线" w:hAnsi="等线" w:eastAsia="等线" w:cstheme="minorHAnsi"/>
          <w:b/>
          <w:bCs/>
          <w:sz w:val="24"/>
          <w:szCs w:val="24"/>
          <w:lang w:val="en-CA"/>
        </w:rPr>
        <w:t>100%“原汁原味”的加州欧文学习体验</w:t>
      </w:r>
    </w:p>
    <w:tbl>
      <w:tblPr>
        <w:tblStyle w:val="5"/>
        <w:tblpPr w:leftFromText="180" w:rightFromText="180" w:vertAnchor="text" w:horzAnchor="page" w:tblpX="1905" w:tblpY="378"/>
        <w:tblOverlap w:val="never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7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rPr>
                <w:rFonts w:ascii="等线" w:hAnsi="等线" w:eastAsia="等线" w:cstheme="minorHAnsi"/>
                <w:lang w:val="en-CA"/>
              </w:rPr>
            </w:pPr>
          </w:p>
        </w:tc>
        <w:tc>
          <w:tcPr>
            <w:tcW w:w="794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ascii="等线" w:hAnsi="等线" w:eastAsia="等线" w:cstheme="minorHAnsi"/>
                <w:b/>
                <w:bCs/>
                <w:lang w:val="en-CA"/>
              </w:rPr>
            </w:pPr>
            <w:r>
              <w:rPr>
                <w:rFonts w:hint="eastAsia" w:ascii="等线" w:hAnsi="等线" w:eastAsia="等线" w:cstheme="minorHAnsi"/>
                <w:b/>
                <w:bCs/>
                <w:lang w:val="en-CA"/>
              </w:rPr>
              <w:t>访学研修学分课程A</w:t>
            </w:r>
            <w:r>
              <w:rPr>
                <w:rFonts w:ascii="等线" w:hAnsi="等线" w:eastAsia="等线" w:cstheme="minorHAnsi"/>
                <w:b/>
                <w:bCs/>
                <w:lang w:val="en-CA"/>
              </w:rPr>
              <w:t>SAP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rPr>
                <w:rFonts w:ascii="等线" w:hAnsi="等线" w:eastAsia="等线" w:cstheme="minorHAnsi"/>
                <w:b/>
                <w:bCs/>
                <w:lang w:val="en-CA"/>
              </w:rPr>
            </w:pPr>
            <w:r>
              <w:rPr>
                <w:rFonts w:ascii="等线" w:hAnsi="等线" w:eastAsia="等线" w:cstheme="minorHAnsi"/>
                <w:b/>
                <w:bCs/>
                <w:lang w:val="en-CA"/>
              </w:rPr>
              <w:t>学生群体：</w:t>
            </w:r>
          </w:p>
        </w:tc>
        <w:tc>
          <w:tcPr>
            <w:tcW w:w="794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rPr>
                <w:rFonts w:ascii="等线" w:hAnsi="等线" w:eastAsia="等线" w:cstheme="minorHAnsi"/>
                <w:lang w:val="en-CA"/>
              </w:rPr>
            </w:pPr>
            <w:r>
              <w:rPr>
                <w:rFonts w:hint="eastAsia" w:ascii="等线" w:hAnsi="等线" w:eastAsia="等线" w:cstheme="minorHAnsi"/>
                <w:lang w:val="en-CA"/>
              </w:rPr>
              <w:t>至少完成一年的本科课程的优秀本科生、研究生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rPr>
                <w:rFonts w:ascii="等线" w:hAnsi="等线" w:eastAsia="等线" w:cstheme="minorHAnsi"/>
                <w:b/>
                <w:bCs/>
                <w:lang w:val="en-CA"/>
              </w:rPr>
            </w:pPr>
            <w:r>
              <w:rPr>
                <w:rFonts w:ascii="等线" w:hAnsi="等线" w:eastAsia="等线" w:cstheme="minorHAnsi"/>
                <w:b/>
                <w:bCs/>
                <w:lang w:val="en-CA"/>
              </w:rPr>
              <w:t>签证类别：</w:t>
            </w:r>
          </w:p>
        </w:tc>
        <w:tc>
          <w:tcPr>
            <w:tcW w:w="794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rPr>
                <w:rFonts w:ascii="等线" w:hAnsi="等线" w:eastAsia="等线" w:cstheme="minorHAnsi"/>
                <w:lang w:val="en-CA"/>
              </w:rPr>
            </w:pPr>
            <w:r>
              <w:rPr>
                <w:rFonts w:ascii="等线" w:hAnsi="等线" w:eastAsia="等线" w:cstheme="minorHAnsi"/>
                <w:lang w:val="en-CA"/>
              </w:rPr>
              <w:t>F-1学生签证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rPr>
                <w:rFonts w:ascii="等线" w:hAnsi="等线" w:eastAsia="等线" w:cstheme="minorHAnsi"/>
                <w:b/>
                <w:bCs/>
                <w:lang w:val="en-CA"/>
              </w:rPr>
            </w:pPr>
            <w:r>
              <w:rPr>
                <w:rFonts w:ascii="等线" w:hAnsi="等线" w:eastAsia="等线" w:cstheme="minorHAnsi"/>
                <w:b/>
                <w:bCs/>
                <w:lang w:val="en-CA"/>
              </w:rPr>
              <w:t>专业选择：</w:t>
            </w:r>
          </w:p>
        </w:tc>
        <w:tc>
          <w:tcPr>
            <w:tcW w:w="7948" w:type="dxa"/>
          </w:tcPr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363" w:hanging="363"/>
              <w:textAlignment w:val="auto"/>
              <w:rPr>
                <w:rFonts w:ascii="等线" w:hAnsi="等线" w:eastAsia="等线" w:cstheme="minorHAnsi"/>
                <w:lang w:val="en-CA"/>
              </w:rPr>
            </w:pPr>
            <w:r>
              <w:rPr>
                <w:rFonts w:hint="eastAsia" w:ascii="等线" w:hAnsi="等线" w:eastAsia="等线" w:cstheme="minorHAnsi"/>
                <w:lang w:val="en-CA"/>
              </w:rPr>
              <w:t>本科</w:t>
            </w:r>
            <w:r>
              <w:rPr>
                <w:rFonts w:ascii="等线" w:hAnsi="等线" w:eastAsia="等线" w:cstheme="minorHAnsi"/>
                <w:lang w:val="en-CA"/>
              </w:rPr>
              <w:t>1400门专业课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363" w:hanging="363"/>
              <w:textAlignment w:val="auto"/>
              <w:rPr>
                <w:rFonts w:ascii="等线" w:hAnsi="等线" w:eastAsia="等线" w:cstheme="minorHAnsi"/>
                <w:lang w:val="en-CA"/>
              </w:rPr>
            </w:pPr>
            <w:r>
              <w:rPr>
                <w:rFonts w:hint="eastAsia" w:ascii="等线" w:hAnsi="等线" w:eastAsia="等线" w:cstheme="minorHAnsi"/>
                <w:lang w:val="en-CA"/>
              </w:rPr>
              <w:t>修研究生课程的学生，需要获得</w:t>
            </w:r>
            <w:r>
              <w:rPr>
                <w:rFonts w:ascii="等线" w:hAnsi="等线" w:eastAsia="等线" w:cstheme="minorHAnsi"/>
                <w:lang w:val="en-CA"/>
              </w:rPr>
              <w:t>教授/导师同意</w:t>
            </w:r>
            <w:r>
              <w:rPr>
                <w:rFonts w:hint="eastAsia" w:ascii="等线" w:hAnsi="等线" w:eastAsia="等线" w:cstheme="minorHAnsi"/>
                <w:lang w:val="en-CA"/>
              </w:rPr>
              <w:t>，且符合背景要求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rPr>
                <w:rFonts w:ascii="等线" w:hAnsi="等线" w:eastAsia="等线" w:cstheme="minorHAnsi"/>
                <w:b/>
                <w:bCs/>
                <w:lang w:val="en-CA"/>
              </w:rPr>
            </w:pPr>
            <w:r>
              <w:rPr>
                <w:rFonts w:ascii="等线" w:hAnsi="等线" w:eastAsia="等线" w:cstheme="minorHAnsi"/>
                <w:b/>
                <w:bCs/>
                <w:lang w:val="en-CA"/>
              </w:rPr>
              <w:t>授课形式：</w:t>
            </w:r>
          </w:p>
        </w:tc>
        <w:tc>
          <w:tcPr>
            <w:tcW w:w="7948" w:type="dxa"/>
          </w:tcPr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363" w:hanging="363"/>
              <w:textAlignment w:val="auto"/>
              <w:rPr>
                <w:rFonts w:ascii="等线" w:hAnsi="等线" w:eastAsia="等线" w:cstheme="minorHAnsi"/>
                <w:lang w:val="en-CA"/>
              </w:rPr>
            </w:pPr>
            <w:r>
              <w:rPr>
                <w:rFonts w:ascii="等线" w:hAnsi="等线" w:eastAsia="等线" w:cstheme="minorHAnsi"/>
                <w:lang w:val="en-CA"/>
              </w:rPr>
              <w:t>中美大学生课堂交流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363" w:hanging="363"/>
              <w:textAlignment w:val="auto"/>
              <w:rPr>
                <w:rFonts w:ascii="等线" w:hAnsi="等线" w:eastAsia="等线" w:cstheme="minorHAnsi"/>
                <w:lang w:val="en-CA"/>
              </w:rPr>
            </w:pPr>
            <w:r>
              <w:rPr>
                <w:rFonts w:ascii="等线" w:hAnsi="等线" w:eastAsia="等线" w:cstheme="minorHAnsi"/>
                <w:lang w:val="en-CA"/>
              </w:rPr>
              <w:t>课堂与科研实践相结合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363" w:hanging="363"/>
              <w:textAlignment w:val="auto"/>
              <w:rPr>
                <w:rFonts w:ascii="等线" w:hAnsi="等线" w:eastAsia="等线" w:cstheme="minorHAnsi"/>
                <w:lang w:val="en-CA"/>
              </w:rPr>
            </w:pPr>
            <w:r>
              <w:rPr>
                <w:rFonts w:ascii="等线" w:hAnsi="等线" w:eastAsia="等线" w:cstheme="minorHAnsi"/>
              </w:rPr>
              <w:t>研究/博士生混班学习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363" w:hanging="363"/>
              <w:textAlignment w:val="auto"/>
              <w:rPr>
                <w:rFonts w:ascii="等线" w:hAnsi="等线" w:eastAsia="等线" w:cstheme="minorHAnsi"/>
                <w:lang w:val="en-CA"/>
              </w:rPr>
            </w:pPr>
            <w:r>
              <w:rPr>
                <w:rFonts w:ascii="等线" w:hAnsi="等线" w:eastAsia="等线" w:cstheme="minorHAnsi"/>
              </w:rPr>
              <w:t>科研实操</w:t>
            </w:r>
            <w:r>
              <w:rPr>
                <w:rFonts w:hint="eastAsia" w:ascii="等线" w:hAnsi="等线" w:eastAsia="等线" w:cstheme="minorHAnsi"/>
              </w:rPr>
              <w:t>以及</w:t>
            </w:r>
            <w:r>
              <w:rPr>
                <w:rFonts w:ascii="等线" w:hAnsi="等线" w:eastAsia="等线" w:cstheme="minorHAnsi"/>
              </w:rPr>
              <w:t>行业观摩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179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baseline"/>
              <w:rPr>
                <w:rFonts w:ascii="等线" w:hAnsi="等线" w:eastAsia="等线" w:cstheme="minorHAnsi"/>
                <w:b/>
                <w:bCs/>
                <w:color w:val="222222"/>
                <w:lang w:val="en-CA"/>
              </w:rPr>
            </w:pPr>
            <w:r>
              <w:rPr>
                <w:rFonts w:ascii="等线" w:hAnsi="等线" w:eastAsia="等线" w:cstheme="minorHAnsi"/>
                <w:b/>
                <w:bCs/>
                <w:color w:val="222222"/>
                <w:lang w:val="en-CA"/>
              </w:rPr>
              <w:t>项目优势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rPr>
                <w:rFonts w:ascii="等线" w:hAnsi="等线" w:eastAsia="等线" w:cstheme="minorHAnsi"/>
                <w:b/>
                <w:bCs/>
                <w:lang w:val="en-CA"/>
              </w:rPr>
            </w:pPr>
          </w:p>
        </w:tc>
        <w:tc>
          <w:tcPr>
            <w:tcW w:w="7948" w:type="dxa"/>
          </w:tcPr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363" w:hanging="363"/>
              <w:textAlignment w:val="baseline"/>
              <w:rPr>
                <w:rFonts w:ascii="等线" w:hAnsi="等线" w:eastAsia="等线" w:cstheme="minorHAnsi"/>
                <w:color w:val="222222"/>
                <w:lang w:val="en-CA"/>
              </w:rPr>
            </w:pPr>
            <w:r>
              <w:rPr>
                <w:rFonts w:ascii="等线" w:hAnsi="等线" w:eastAsia="等线" w:cstheme="minorHAnsi"/>
                <w:color w:val="222222"/>
                <w:lang w:val="en-CA"/>
              </w:rPr>
              <w:t>尊享全美“</w:t>
            </w:r>
            <w:r>
              <w:rPr>
                <w:rFonts w:ascii="等线" w:hAnsi="等线" w:eastAsia="等线" w:cstheme="minorHAnsi"/>
                <w:b/>
                <w:bCs/>
                <w:color w:val="C00000"/>
                <w:lang w:val="en-CA"/>
              </w:rPr>
              <w:t>最安全</w:t>
            </w:r>
            <w:r>
              <w:rPr>
                <w:rFonts w:ascii="等线" w:hAnsi="等线" w:eastAsia="等线" w:cstheme="minorHAnsi"/>
                <w:color w:val="222222"/>
                <w:lang w:val="en-CA"/>
              </w:rPr>
              <w:t>”城市与校园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363" w:hanging="363"/>
              <w:textAlignment w:val="baseline"/>
              <w:rPr>
                <w:rFonts w:ascii="等线" w:hAnsi="等线" w:eastAsia="等线" w:cstheme="minorHAnsi"/>
                <w:color w:val="222222"/>
                <w:lang w:val="en-CA"/>
              </w:rPr>
            </w:pPr>
            <w:r>
              <w:rPr>
                <w:rFonts w:hint="eastAsia" w:ascii="等线" w:hAnsi="等线" w:eastAsia="等线" w:cstheme="minorHAnsi"/>
                <w:color w:val="222222"/>
                <w:lang w:val="en-CA"/>
              </w:rPr>
              <w:t>相对UCI排名、课程门槛不高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363" w:hanging="363"/>
              <w:textAlignment w:val="baseline"/>
              <w:rPr>
                <w:rFonts w:ascii="等线" w:hAnsi="等线" w:eastAsia="等线" w:cstheme="minorHAnsi"/>
                <w:color w:val="222222"/>
                <w:lang w:val="en-CA"/>
              </w:rPr>
            </w:pPr>
            <w:r>
              <w:rPr>
                <w:rFonts w:hint="eastAsia" w:ascii="等线" w:hAnsi="等线" w:eastAsia="等线" w:cstheme="minorHAnsi"/>
                <w:color w:val="222222"/>
                <w:lang w:val="en-CA"/>
              </w:rPr>
              <w:t>获益良多、英语提高、可获UCI学分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363" w:hanging="363"/>
              <w:textAlignment w:val="baseline"/>
              <w:rPr>
                <w:rFonts w:ascii="等线" w:hAnsi="等线" w:eastAsia="等线" w:cstheme="minorHAnsi"/>
                <w:color w:val="222222"/>
                <w:lang w:val="en-CA"/>
              </w:rPr>
            </w:pPr>
            <w:r>
              <w:rPr>
                <w:rFonts w:hint="eastAsia" w:ascii="等线" w:hAnsi="等线" w:eastAsia="等线" w:cstheme="minorHAnsi"/>
                <w:color w:val="222222"/>
                <w:lang w:val="en-CA"/>
              </w:rPr>
              <w:t>访学成本比其它UC要低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363" w:hanging="363"/>
              <w:textAlignment w:val="baseline"/>
              <w:rPr>
                <w:rFonts w:ascii="等线" w:hAnsi="等线" w:eastAsia="等线" w:cstheme="minorHAnsi"/>
                <w:color w:val="222222"/>
                <w:lang w:val="en-CA"/>
              </w:rPr>
            </w:pPr>
            <w:r>
              <w:rPr>
                <w:rFonts w:hint="eastAsia" w:ascii="等线" w:hAnsi="等线" w:eastAsia="等线" w:cstheme="minorHAnsi"/>
                <w:color w:val="222222"/>
                <w:lang w:val="en-CA"/>
              </w:rPr>
              <w:t>国内高校合作、学分可以带回本校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363" w:hanging="363"/>
              <w:textAlignment w:val="baseline"/>
              <w:rPr>
                <w:rFonts w:ascii="等线" w:hAnsi="等线" w:eastAsia="等线" w:cstheme="minorHAnsi"/>
                <w:color w:val="222222"/>
                <w:lang w:val="en-CA"/>
              </w:rPr>
            </w:pPr>
            <w:r>
              <w:rPr>
                <w:rFonts w:hint="eastAsia" w:ascii="等线" w:hAnsi="等线" w:eastAsia="等线" w:cstheme="minorHAnsi"/>
                <w:color w:val="222222"/>
                <w:lang w:val="en-CA"/>
              </w:rPr>
              <w:t>可获得正式UCI大学成绩单和证书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363" w:hanging="363"/>
              <w:jc w:val="both"/>
              <w:rPr>
                <w:rFonts w:ascii="等线" w:hAnsi="等线" w:eastAsia="等线" w:cstheme="minorHAnsi"/>
                <w:color w:val="000000"/>
                <w:shd w:val="clear" w:color="auto" w:fill="FFFFFF"/>
              </w:rPr>
            </w:pPr>
            <w:r>
              <w:rPr>
                <w:rFonts w:ascii="等线" w:hAnsi="等线" w:eastAsia="等线" w:cstheme="minorHAnsi"/>
                <w:color w:val="000000"/>
                <w:shd w:val="clear" w:color="auto" w:fill="FFFFFF"/>
              </w:rPr>
              <w:t>享受专业学术及科研指导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363" w:hanging="363"/>
              <w:jc w:val="both"/>
              <w:rPr>
                <w:rFonts w:ascii="等线" w:hAnsi="等线" w:eastAsia="等线" w:cstheme="minorHAnsi"/>
                <w:color w:val="000000"/>
                <w:shd w:val="clear" w:color="auto" w:fill="FFFFFF"/>
              </w:rPr>
            </w:pPr>
            <w:r>
              <w:rPr>
                <w:rFonts w:ascii="等线" w:hAnsi="等线" w:eastAsia="等线" w:cstheme="minorHAnsi"/>
                <w:b/>
                <w:bCs/>
                <w:color w:val="C00000"/>
                <w:shd w:val="clear" w:color="auto" w:fill="FFFFFF"/>
              </w:rPr>
              <w:t>专业课教授推荐信</w:t>
            </w:r>
            <w:r>
              <w:rPr>
                <w:rFonts w:ascii="等线" w:hAnsi="等线" w:eastAsia="等线" w:cstheme="minorHAnsi"/>
                <w:color w:val="000000"/>
                <w:shd w:val="clear" w:color="auto" w:fill="FFFFFF"/>
              </w:rPr>
              <w:t>，有助</w:t>
            </w:r>
            <w:r>
              <w:rPr>
                <w:rFonts w:hint="eastAsia" w:ascii="等线" w:hAnsi="等线" w:eastAsia="等线" w:cstheme="minorHAnsi"/>
                <w:color w:val="000000"/>
                <w:shd w:val="clear" w:color="auto" w:fill="FFFFFF"/>
              </w:rPr>
              <w:t>硕士/</w:t>
            </w:r>
            <w:r>
              <w:rPr>
                <w:rFonts w:ascii="等线" w:hAnsi="等线" w:eastAsia="等线" w:cstheme="minorHAnsi"/>
                <w:color w:val="000000"/>
                <w:shd w:val="clear" w:color="auto" w:fill="FFFFFF"/>
              </w:rPr>
              <w:t>博士学位与奖学金申请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363" w:hanging="363"/>
              <w:textAlignment w:val="baseline"/>
              <w:rPr>
                <w:rFonts w:ascii="等线" w:hAnsi="等线" w:eastAsia="等线" w:cstheme="minorHAnsi"/>
                <w:color w:val="222222"/>
                <w:lang w:val="en-CA"/>
              </w:rPr>
            </w:pPr>
            <w:r>
              <w:rPr>
                <w:rFonts w:hint="eastAsia" w:ascii="等线" w:hAnsi="等线" w:eastAsia="等线" w:cstheme="minorHAnsi"/>
                <w:color w:val="222222"/>
                <w:lang w:val="en-CA"/>
              </w:rPr>
              <w:t>与UCI教授、博士参加科研团队、推荐信、申研和博的重要通道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79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baseline"/>
              <w:rPr>
                <w:rFonts w:ascii="等线" w:hAnsi="等线" w:eastAsia="等线" w:cstheme="minorHAnsi"/>
                <w:b/>
                <w:bCs/>
                <w:color w:val="222222"/>
                <w:lang w:val="en-CA"/>
              </w:rPr>
            </w:pPr>
            <w:r>
              <w:rPr>
                <w:rFonts w:ascii="等线" w:hAnsi="等线" w:eastAsia="等线" w:cstheme="minorHAnsi"/>
                <w:b/>
                <w:bCs/>
                <w:color w:val="222222"/>
                <w:lang w:val="en-CA"/>
              </w:rPr>
              <w:t>成绩单&amp;证书</w:t>
            </w:r>
          </w:p>
        </w:tc>
        <w:tc>
          <w:tcPr>
            <w:tcW w:w="7948" w:type="dxa"/>
          </w:tcPr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63" w:hanging="363"/>
              <w:textAlignment w:val="auto"/>
              <w:rPr>
                <w:rFonts w:ascii="等线" w:hAnsi="等线" w:eastAsia="等线" w:cstheme="minorHAnsi"/>
                <w:color w:val="222222"/>
                <w:lang w:val="en-CA"/>
              </w:rPr>
            </w:pPr>
            <w:r>
              <w:rPr>
                <w:rFonts w:ascii="等线" w:hAnsi="等线" w:eastAsia="等线" w:cstheme="minorHAnsi"/>
                <w:color w:val="222222"/>
                <w:lang w:val="en-CA"/>
              </w:rPr>
              <w:t>赴美学习前，请咨询中方学校教务处学分转换相关政策，通过本课程学习，学生将会获得UCI本科学分和证书。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179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baseline"/>
              <w:rPr>
                <w:rFonts w:ascii="等线" w:hAnsi="等线" w:eastAsia="等线" w:cstheme="minorHAnsi"/>
                <w:b/>
                <w:bCs/>
                <w:color w:val="222222"/>
                <w:lang w:val="en-CA"/>
              </w:rPr>
            </w:pPr>
            <w:r>
              <w:rPr>
                <w:rFonts w:hint="eastAsia" w:ascii="等线" w:hAnsi="等线" w:eastAsia="等线" w:cstheme="minorHAnsi"/>
                <w:b/>
                <w:bCs/>
                <w:color w:val="222222"/>
                <w:lang w:val="en-CA"/>
              </w:rPr>
              <w:t>选课要求及建议</w:t>
            </w:r>
          </w:p>
        </w:tc>
        <w:tc>
          <w:tcPr>
            <w:tcW w:w="7948" w:type="dxa"/>
          </w:tcPr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363" w:hanging="363"/>
              <w:textAlignment w:val="auto"/>
              <w:rPr>
                <w:rFonts w:ascii="等线" w:hAnsi="等线" w:eastAsia="等线" w:cstheme="minorHAnsi"/>
                <w:color w:val="222222"/>
                <w:lang w:val="en-CA"/>
              </w:rPr>
            </w:pPr>
            <w:r>
              <w:rPr>
                <w:rFonts w:hint="eastAsia" w:ascii="等线" w:hAnsi="等线" w:eastAsia="等线" w:cstheme="minorHAnsi"/>
                <w:b/>
                <w:bCs/>
                <w:color w:val="222222"/>
                <w:lang w:val="en-CA"/>
              </w:rPr>
              <w:t>法学院、商学院、护理学院下的课程不能选</w:t>
            </w:r>
            <w:r>
              <w:rPr>
                <w:rFonts w:hint="eastAsia" w:ascii="等线" w:hAnsi="等线" w:eastAsia="等线" w:cstheme="minorHAnsi"/>
                <w:color w:val="222222"/>
                <w:lang w:val="en-CA"/>
              </w:rPr>
              <w:t>，但是学生可以选修其他学院开设的商科、法学相关课程，选修相关课程需要符合背景要求；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363" w:hanging="363"/>
              <w:textAlignment w:val="auto"/>
              <w:rPr>
                <w:rFonts w:ascii="等线" w:hAnsi="等线" w:eastAsia="等线" w:cstheme="minorHAnsi"/>
                <w:color w:val="222222"/>
                <w:lang w:val="en-CA"/>
              </w:rPr>
            </w:pPr>
            <w:r>
              <w:rPr>
                <w:rFonts w:hint="eastAsia" w:ascii="等线" w:hAnsi="等线" w:eastAsia="等线" w:cstheme="minorHAnsi"/>
                <w:color w:val="222222"/>
                <w:lang w:val="en-CA"/>
              </w:rPr>
              <w:t>目前，心理学、社会学、艺术、经济学这些课程的选课稍有难度；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hd w:val="clear" w:color="auto" w:fill="FFFF0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363" w:hanging="363"/>
              <w:textAlignment w:val="auto"/>
              <w:rPr>
                <w:rFonts w:ascii="等线" w:hAnsi="等线" w:eastAsia="等线" w:cstheme="minorHAnsi"/>
                <w:color w:val="222222"/>
                <w:lang w:val="en-CA"/>
              </w:rPr>
            </w:pPr>
            <w:r>
              <w:rPr>
                <w:rFonts w:hint="eastAsia" w:ascii="等线" w:hAnsi="等线" w:eastAsia="等线" w:cstheme="minorHAnsi"/>
                <w:color w:val="222222"/>
                <w:lang w:val="en-CA"/>
              </w:rPr>
              <w:t>工程专业相关的E</w:t>
            </w:r>
            <w:r>
              <w:rPr>
                <w:rFonts w:ascii="等线" w:hAnsi="等线" w:eastAsia="等线" w:cstheme="minorHAnsi"/>
                <w:color w:val="222222"/>
                <w:lang w:val="en-CA"/>
              </w:rPr>
              <w:t>lectrical Engineering and Computer Science(EECS)</w:t>
            </w:r>
            <w:r>
              <w:rPr>
                <w:rFonts w:hint="eastAsia" w:ascii="等线" w:hAnsi="等线" w:eastAsia="等线" w:cstheme="minorHAnsi"/>
                <w:color w:val="222222"/>
                <w:lang w:val="en-CA"/>
              </w:rPr>
              <w:t>课程将会优先给国内合作大学3</w:t>
            </w:r>
            <w:r>
              <w:rPr>
                <w:rFonts w:ascii="等线" w:hAnsi="等线" w:eastAsia="等线" w:cstheme="minorHAnsi"/>
                <w:color w:val="222222"/>
                <w:lang w:val="en-CA"/>
              </w:rPr>
              <w:t>+2</w:t>
            </w:r>
            <w:r>
              <w:rPr>
                <w:rFonts w:hint="eastAsia" w:ascii="等线" w:hAnsi="等线" w:eastAsia="等线" w:cstheme="minorHAnsi"/>
                <w:color w:val="222222"/>
                <w:lang w:val="en-CA"/>
              </w:rPr>
              <w:t>项目的学生；根据实际情况，学生可以选择其它工程专业课程。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363" w:hanging="363"/>
              <w:textAlignment w:val="auto"/>
              <w:rPr>
                <w:rFonts w:ascii="等线" w:hAnsi="等线" w:eastAsia="等线" w:cstheme="minorHAnsi"/>
                <w:color w:val="222222"/>
                <w:lang w:val="en-CA"/>
              </w:rPr>
            </w:pPr>
            <w:r>
              <w:rPr>
                <w:rFonts w:hint="eastAsia" w:ascii="等线" w:hAnsi="等线" w:eastAsia="等线" w:cstheme="minorHAnsi"/>
                <w:color w:val="222222"/>
                <w:lang w:val="en-CA"/>
              </w:rPr>
              <w:t>课程不保证选课成功，开始选课前需要至少准备4</w:t>
            </w:r>
            <w:r>
              <w:rPr>
                <w:rFonts w:ascii="等线" w:hAnsi="等线" w:eastAsia="等线" w:cstheme="minorHAnsi"/>
                <w:color w:val="222222"/>
                <w:lang w:val="en-CA"/>
              </w:rPr>
              <w:t>-5</w:t>
            </w:r>
            <w:r>
              <w:rPr>
                <w:rFonts w:hint="eastAsia" w:ascii="等线" w:hAnsi="等线" w:eastAsia="等线" w:cstheme="minorHAnsi"/>
                <w:color w:val="222222"/>
                <w:lang w:val="en-CA"/>
              </w:rPr>
              <w:t>门备选课程；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363" w:hanging="363"/>
              <w:textAlignment w:val="auto"/>
              <w:rPr>
                <w:rFonts w:ascii="等线" w:hAnsi="等线" w:eastAsia="等线" w:cstheme="minorHAnsi"/>
                <w:color w:val="222222"/>
                <w:lang w:val="en-CA"/>
              </w:rPr>
            </w:pPr>
            <w:r>
              <w:rPr>
                <w:rFonts w:hint="eastAsia" w:ascii="等线" w:hAnsi="等线" w:eastAsia="等线" w:cstheme="minorHAnsi"/>
                <w:color w:val="222222"/>
                <w:lang w:val="en-CA"/>
              </w:rPr>
              <w:t>研究生在读的学生，第一学期只能修读1门研究生学分课程+</w:t>
            </w:r>
            <w:r>
              <w:rPr>
                <w:rFonts w:ascii="等线" w:hAnsi="等线" w:eastAsia="等线" w:cstheme="minorHAnsi"/>
                <w:color w:val="222222"/>
                <w:lang w:val="en-CA"/>
              </w:rPr>
              <w:t>2</w:t>
            </w:r>
            <w:r>
              <w:rPr>
                <w:rFonts w:hint="eastAsia" w:ascii="等线" w:hAnsi="等线" w:eastAsia="等线" w:cstheme="minorHAnsi"/>
                <w:color w:val="222222"/>
                <w:lang w:val="en-CA"/>
              </w:rPr>
              <w:t>本科或D</w:t>
            </w:r>
            <w:r>
              <w:rPr>
                <w:rFonts w:ascii="等线" w:hAnsi="等线" w:eastAsia="等线" w:cstheme="minorHAnsi"/>
                <w:color w:val="222222"/>
                <w:lang w:val="en-CA"/>
              </w:rPr>
              <w:t>CE</w:t>
            </w:r>
            <w:r>
              <w:rPr>
                <w:rFonts w:hint="eastAsia" w:ascii="等线" w:hAnsi="等线" w:eastAsia="等线" w:cstheme="minorHAnsi"/>
                <w:color w:val="222222"/>
                <w:lang w:val="en-CA"/>
              </w:rPr>
              <w:t>课程，第二学期可以根据第一期表现决定是否修1门以上的研究生学分。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363" w:hanging="363"/>
              <w:textAlignment w:val="auto"/>
              <w:rPr>
                <w:rFonts w:ascii="等线" w:hAnsi="等线" w:eastAsia="等线" w:cstheme="minorHAnsi"/>
                <w:color w:val="222222"/>
                <w:lang w:val="en-CA"/>
              </w:rPr>
            </w:pPr>
            <w:r>
              <w:rPr>
                <w:rFonts w:hint="eastAsia" w:ascii="等线" w:hAnsi="等线" w:eastAsia="等线" w:cstheme="minorHAnsi"/>
                <w:color w:val="222222"/>
                <w:lang w:val="en-CA"/>
              </w:rPr>
              <w:t>选修研究生课程的学生需要满足前置课程要求，求并支付$</w:t>
            </w:r>
            <w:r>
              <w:rPr>
                <w:rFonts w:ascii="等线" w:hAnsi="等线" w:eastAsia="等线" w:cstheme="minorHAnsi"/>
                <w:color w:val="222222"/>
                <w:lang w:val="en-CA"/>
              </w:rPr>
              <w:t>500/</w:t>
            </w:r>
            <w:r>
              <w:rPr>
                <w:rFonts w:hint="eastAsia" w:ascii="等线" w:hAnsi="等线" w:eastAsia="等线" w:cstheme="minorHAnsi"/>
                <w:color w:val="222222"/>
                <w:lang w:val="en-CA"/>
              </w:rPr>
              <w:t>门研究生课程学费差额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363" w:hanging="363"/>
              <w:textAlignment w:val="auto"/>
              <w:rPr>
                <w:rFonts w:ascii="等线" w:hAnsi="等线" w:eastAsia="等线" w:cstheme="minorHAnsi"/>
                <w:color w:val="222222"/>
                <w:lang w:val="en-CA"/>
              </w:rPr>
            </w:pPr>
            <w:r>
              <w:rPr>
                <w:rFonts w:hint="eastAsia" w:ascii="等线" w:hAnsi="等线" w:eastAsia="等线" w:cstheme="minorHAnsi"/>
                <w:color w:val="222222"/>
                <w:lang w:val="en-CA"/>
              </w:rPr>
              <w:t>选课前必须先联系辅导员，也必须参加新生Pre</w:t>
            </w:r>
            <w:r>
              <w:rPr>
                <w:rFonts w:ascii="等线" w:hAnsi="等线" w:eastAsia="等线" w:cstheme="minorHAnsi"/>
                <w:color w:val="222222"/>
                <w:lang w:val="en-CA"/>
              </w:rPr>
              <w:t>-O</w:t>
            </w:r>
            <w:r>
              <w:rPr>
                <w:rFonts w:hint="eastAsia" w:ascii="等线" w:hAnsi="等线" w:eastAsia="等线" w:cstheme="minorHAnsi"/>
                <w:color w:val="222222"/>
                <w:lang w:val="en-CA"/>
              </w:rPr>
              <w:t>rientation了解选课规则；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rPr>
          <w:rFonts w:hint="eastAsia" w:cs="宋体" w:asciiTheme="minorEastAsia" w:hAnsiTheme="minorEastAsia" w:eastAsiaTheme="minorEastAsia"/>
          <w:b/>
          <w:bCs/>
          <w:kern w:val="0"/>
          <w:sz w:val="24"/>
          <w:szCs w:val="24"/>
          <w:lang w:val="en-CA" w:eastAsia="zh-CN"/>
        </w:rPr>
      </w:pPr>
      <w:r>
        <w:rPr>
          <w:rFonts w:hint="eastAsia" w:ascii="等线" w:hAnsi="等线" w:eastAsia="等线" w:cstheme="minorHAnsi"/>
          <w:bCs/>
          <w:color w:val="FF0000"/>
        </w:rPr>
        <w:t>备注：</w:t>
      </w:r>
      <w:r>
        <w:rPr>
          <w:rFonts w:ascii="等线" w:hAnsi="等线" w:eastAsia="等线" w:cstheme="minorHAnsi"/>
          <w:bCs/>
          <w:color w:val="FF0000"/>
        </w:rPr>
        <w:t>ASAP</w:t>
      </w:r>
      <w:r>
        <w:rPr>
          <w:rFonts w:hint="eastAsia" w:ascii="等线" w:hAnsi="等线" w:eastAsia="等线" w:cstheme="minorHAnsi"/>
          <w:bCs/>
          <w:color w:val="FF0000"/>
        </w:rPr>
        <w:t>的offer不分研究生或者本科，选课的时候可以根据自身条件和需求选修本科或者研究生的课程。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rPr>
          <w:rFonts w:hint="eastAsia" w:ascii="Calibri" w:hAnsi="Courier New" w:eastAsia="宋体" w:cs="Courier New"/>
          <w:b/>
          <w:szCs w:val="21"/>
          <w:highlight w:val="yellow"/>
          <w:lang w:val="en-US" w:eastAsia="zh-CN"/>
        </w:rPr>
      </w:pPr>
      <w:r>
        <w:rPr>
          <w:rFonts w:hint="eastAsia" w:ascii="Calibri" w:hAnsi="Courier New" w:eastAsia="宋体" w:cs="Courier New"/>
          <w:b/>
          <w:szCs w:val="21"/>
          <w:highlight w:val="yellow"/>
          <w:lang w:val="en-US" w:eastAsia="zh-CN"/>
        </w:rPr>
        <w:t>具体项目内容、课程设计、授课教师介绍与项目时间安排详见附件1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rPr>
          <w:rFonts w:hint="default" w:ascii="Calibri" w:hAnsi="Courier New" w:eastAsia="宋体" w:cs="Courier New"/>
          <w:b/>
          <w:szCs w:val="21"/>
          <w:highlight w:val="yellow"/>
          <w:lang w:val="en-US" w:eastAsia="zh-CN"/>
        </w:rPr>
      </w:pPr>
      <w:r>
        <w:rPr>
          <w:rFonts w:hint="eastAsia" w:ascii="Calibri" w:hAnsi="Courier New" w:eastAsia="宋体" w:cs="Courier New"/>
          <w:b/>
          <w:szCs w:val="21"/>
          <w:highlight w:val="yellow"/>
          <w:lang w:val="en-US" w:eastAsia="zh-CN"/>
        </w:rPr>
        <w:t>申请</w:t>
      </w:r>
      <w:r>
        <w:rPr>
          <w:rFonts w:hint="default" w:ascii="Calibri" w:hAnsi="Courier New" w:eastAsia="宋体" w:cs="Courier New"/>
          <w:b/>
          <w:szCs w:val="21"/>
          <w:highlight w:val="yellow"/>
          <w:lang w:val="en-US" w:eastAsia="zh-CN"/>
        </w:rPr>
        <w:t>课程</w:t>
      </w:r>
      <w:r>
        <w:rPr>
          <w:rFonts w:hint="eastAsia" w:ascii="Calibri" w:hAnsi="Courier New" w:eastAsia="宋体" w:cs="Courier New"/>
          <w:b/>
          <w:szCs w:val="21"/>
          <w:highlight w:val="yellow"/>
          <w:lang w:val="en-US" w:eastAsia="zh-CN"/>
        </w:rPr>
        <w:t>学生的</w:t>
      </w:r>
      <w:r>
        <w:rPr>
          <w:rFonts w:hint="default" w:ascii="Calibri" w:hAnsi="Courier New" w:eastAsia="宋体" w:cs="Courier New"/>
          <w:b/>
          <w:szCs w:val="21"/>
          <w:highlight w:val="yellow"/>
          <w:lang w:val="en-US" w:eastAsia="zh-CN"/>
        </w:rPr>
        <w:t>具体</w:t>
      </w:r>
      <w:r>
        <w:rPr>
          <w:rFonts w:hint="eastAsia" w:ascii="Calibri" w:hAnsi="Courier New" w:eastAsia="宋体" w:cs="Courier New"/>
          <w:b/>
          <w:szCs w:val="21"/>
          <w:highlight w:val="yellow"/>
          <w:lang w:val="en-US" w:eastAsia="zh-CN"/>
        </w:rPr>
        <w:t>学术及语言</w:t>
      </w:r>
      <w:r>
        <w:rPr>
          <w:rFonts w:hint="default" w:ascii="Calibri" w:hAnsi="Courier New" w:eastAsia="宋体" w:cs="Courier New"/>
          <w:b/>
          <w:szCs w:val="21"/>
          <w:highlight w:val="yellow"/>
          <w:lang w:val="en-US" w:eastAsia="zh-CN"/>
        </w:rPr>
        <w:t>要求</w:t>
      </w:r>
      <w:r>
        <w:rPr>
          <w:rFonts w:hint="eastAsia" w:ascii="Calibri" w:hAnsi="Courier New" w:eastAsia="宋体" w:cs="Courier New"/>
          <w:b/>
          <w:szCs w:val="21"/>
          <w:highlight w:val="yellow"/>
          <w:lang w:val="en-US" w:eastAsia="zh-CN"/>
        </w:rPr>
        <w:t>及申请流程</w:t>
      </w:r>
      <w:r>
        <w:rPr>
          <w:rFonts w:hint="default" w:ascii="Calibri" w:hAnsi="Courier New" w:eastAsia="宋体" w:cs="Courier New"/>
          <w:b/>
          <w:szCs w:val="21"/>
          <w:highlight w:val="yellow"/>
          <w:lang w:val="en-US" w:eastAsia="zh-CN"/>
        </w:rPr>
        <w:t>请</w:t>
      </w:r>
      <w:r>
        <w:rPr>
          <w:rFonts w:hint="eastAsia" w:ascii="Calibri" w:hAnsi="Courier New" w:eastAsia="宋体" w:cs="Courier New"/>
          <w:b/>
          <w:szCs w:val="21"/>
          <w:highlight w:val="yellow"/>
          <w:lang w:val="en-US" w:eastAsia="zh-CN"/>
        </w:rPr>
        <w:t>仔细阅读</w:t>
      </w:r>
      <w:r>
        <w:rPr>
          <w:rFonts w:hint="default" w:ascii="Calibri" w:hAnsi="Courier New" w:eastAsia="宋体" w:cs="Courier New"/>
          <w:b/>
          <w:szCs w:val="21"/>
          <w:highlight w:val="yellow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rPr>
          <w:rFonts w:hint="default" w:ascii="Calibri" w:hAnsi="Courier New" w:eastAsia="宋体" w:cs="Courier New"/>
          <w:b/>
          <w:szCs w:val="21"/>
          <w:highlight w:val="yellow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cs="宋体" w:asciiTheme="minorEastAsia" w:hAnsiTheme="minorEastAsia" w:eastAsiaTheme="minorEastAsia"/>
          <w:kern w:val="0"/>
          <w:sz w:val="24"/>
          <w:szCs w:val="24"/>
          <w:lang w:val="en-CA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cs="宋体" w:asciiTheme="minorEastAsia" w:hAnsiTheme="minorEastAsia" w:eastAsiaTheme="minorEastAsia"/>
          <w:kern w:val="0"/>
          <w:sz w:val="24"/>
          <w:szCs w:val="24"/>
          <w:lang w:val="en-CA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、申请资格与条件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Calibri" w:hAnsi="Calibri" w:eastAsia="宋体" w:cs="宋体"/>
          <w:kern w:val="0"/>
          <w:sz w:val="24"/>
          <w:szCs w:val="24"/>
        </w:rPr>
        <w:t>1. </w:t>
      </w:r>
      <w:r>
        <w:rPr>
          <w:rFonts w:hint="eastAsia" w:ascii="宋体" w:hAnsi="宋体" w:eastAsia="宋体" w:cs="宋体"/>
          <w:kern w:val="0"/>
          <w:sz w:val="24"/>
          <w:szCs w:val="24"/>
        </w:rPr>
        <w:t>申请人目前应为我校在读的优秀全日制本科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大二及以上</w:t>
      </w:r>
      <w:r>
        <w:rPr>
          <w:rFonts w:hint="eastAsia" w:ascii="宋体" w:hAnsi="宋体" w:eastAsia="宋体" w:cs="宋体"/>
          <w:kern w:val="0"/>
          <w:sz w:val="24"/>
          <w:szCs w:val="24"/>
        </w:rPr>
        <w:t>学生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专业可根据不同项目方向进行选择，具体详见附件1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Calibri" w:hAnsi="Calibri" w:eastAsia="宋体" w:cs="宋体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</w:rPr>
        <w:t>．政治素质好，坚持四项基本原则，热爱社会主义祖国，无违法违纪记录。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Calibri" w:hAnsi="Calibri" w:eastAsia="宋体" w:cs="宋体"/>
          <w:kern w:val="0"/>
          <w:sz w:val="24"/>
          <w:szCs w:val="24"/>
        </w:rPr>
        <w:t>3. </w:t>
      </w:r>
      <w:r>
        <w:rPr>
          <w:rFonts w:hint="eastAsia" w:ascii="Calibri" w:hAnsi="Calibri" w:eastAsia="宋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学习成绩优异，具有较强的、扎实的专业理论基础和实践能力，平均绩点达到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3.0</w:t>
      </w:r>
      <w:r>
        <w:rPr>
          <w:rFonts w:hint="eastAsia" w:ascii="宋体" w:hAnsi="宋体" w:eastAsia="宋体" w:cs="宋体"/>
          <w:kern w:val="0"/>
          <w:sz w:val="24"/>
          <w:szCs w:val="24"/>
        </w:rPr>
        <w:t>以上。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ascii="Calibri" w:hAnsi="Calibri" w:eastAsia="宋体" w:cs="宋体"/>
          <w:kern w:val="0"/>
          <w:sz w:val="24"/>
          <w:szCs w:val="24"/>
        </w:rPr>
        <w:t>4</w:t>
      </w:r>
      <w:r>
        <w:rPr>
          <w:rFonts w:hint="eastAsia" w:ascii="Calibri" w:hAnsi="Calibri" w:eastAsia="宋体" w:cs="宋体"/>
          <w:kern w:val="0"/>
          <w:sz w:val="24"/>
          <w:szCs w:val="24"/>
          <w:lang w:eastAsia="zh-CN"/>
        </w:rPr>
        <w:t>.</w:t>
      </w:r>
      <w:r>
        <w:rPr>
          <w:rFonts w:hint="eastAsia" w:ascii="Calibri" w:hAnsi="Calibri" w:eastAsia="宋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英语水平证明（托福、雅思、大学四六级或国内学校出具的官方信函）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Calibri" w:hAnsi="Calibri" w:eastAsia="宋体" w:cs="宋体"/>
          <w:kern w:val="0"/>
          <w:sz w:val="24"/>
          <w:szCs w:val="24"/>
        </w:rPr>
        <w:t>5. </w:t>
      </w:r>
      <w:r>
        <w:rPr>
          <w:rFonts w:hint="eastAsia" w:ascii="Calibri" w:hAnsi="Calibri" w:eastAsia="宋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身心健康，能圆满完成学习任务。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Calibri" w:hAnsi="Calibri" w:eastAsia="宋体" w:cs="宋体"/>
          <w:kern w:val="0"/>
          <w:sz w:val="24"/>
          <w:szCs w:val="24"/>
        </w:rPr>
        <w:t>6</w:t>
      </w:r>
      <w:r>
        <w:rPr>
          <w:rFonts w:hint="eastAsia" w:ascii="Calibri" w:hAnsi="Calibri" w:eastAsia="宋体" w:cs="宋体"/>
          <w:kern w:val="0"/>
          <w:sz w:val="24"/>
          <w:szCs w:val="24"/>
          <w:lang w:eastAsia="zh-CN"/>
        </w:rPr>
        <w:t>.</w:t>
      </w:r>
      <w:r>
        <w:rPr>
          <w:rFonts w:hint="eastAsia" w:ascii="Calibri" w:hAnsi="Calibri" w:eastAsia="宋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已交足我校规定的各项费用，具有一定的经济能力。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、选拔程序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Calibri" w:hAnsi="Calibri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>．采取“个人申请、学院推荐、专家评审、择优录取”的方式进行选拔。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Calibri" w:hAnsi="Calibri" w:eastAsia="宋体" w:cs="宋体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</w:rPr>
        <w:t>．申请人应向所在学院提交以下材料：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</w:t>
      </w:r>
      <w:r>
        <w:rPr>
          <w:rFonts w:ascii="Calibri" w:hAnsi="Calibri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>）《南京邮电大学本科生海外访学申请表》（附件</w:t>
      </w:r>
      <w:r>
        <w:rPr>
          <w:rFonts w:hint="eastAsia" w:ascii="Calibri" w:hAnsi="Calibri" w:eastAsia="宋体" w:cs="宋体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</w:rPr>
        <w:t>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</w:t>
      </w:r>
      <w:r>
        <w:rPr>
          <w:rFonts w:ascii="Calibri" w:hAnsi="Calibri" w:eastAsia="宋体" w:cs="宋体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</w:rPr>
        <w:t>）英语水平证明及复印件；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</w:t>
      </w:r>
      <w:r>
        <w:rPr>
          <w:rFonts w:ascii="Calibri" w:hAnsi="Calibri" w:eastAsia="宋体" w:cs="宋体"/>
          <w:kern w:val="0"/>
          <w:sz w:val="24"/>
          <w:szCs w:val="24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</w:rPr>
        <w:t>）学术科研能力证明材料及复印件（包括论文发表、参与竞赛、项目等）；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</w:t>
      </w:r>
      <w:r>
        <w:rPr>
          <w:rFonts w:ascii="Calibri" w:hAnsi="Calibri" w:eastAsia="宋体" w:cs="宋体"/>
          <w:kern w:val="0"/>
          <w:sz w:val="24"/>
          <w:szCs w:val="24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</w:rPr>
        <w:t>）获奖证书及复印件。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Calibri" w:hAnsi="Calibri" w:eastAsia="宋体" w:cs="宋体"/>
          <w:kern w:val="0"/>
          <w:sz w:val="24"/>
          <w:szCs w:val="24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</w:rPr>
        <w:t>．申请人将申请材料交至各学院，学院根据申请资格与条件对申请人进行筛选、排序并填写《南京邮电大学本科生海外访学申请汇总表》（附件</w:t>
      </w:r>
      <w:r>
        <w:rPr>
          <w:rFonts w:hint="eastAsia" w:ascii="Calibri" w:hAnsi="Calibri" w:eastAsia="宋体" w:cs="宋体"/>
          <w:kern w:val="0"/>
          <w:sz w:val="24"/>
          <w:szCs w:val="24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</w:rPr>
        <w:t>），于</w:t>
      </w:r>
      <w:r>
        <w:rPr>
          <w:rFonts w:hint="eastAsia" w:ascii="Calibri" w:hAnsi="Calibri" w:eastAsia="宋体" w:cs="宋体"/>
          <w:b/>
          <w:bCs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日</w:t>
      </w:r>
      <w:r>
        <w:rPr>
          <w:rFonts w:hint="eastAsia" w:ascii="宋体" w:hAnsi="宋体" w:eastAsia="宋体" w:cs="宋体"/>
          <w:kern w:val="0"/>
          <w:sz w:val="24"/>
          <w:szCs w:val="24"/>
        </w:rPr>
        <w:t>前将候选人申请材料及汇总表交至教务处实践教学科，逾期不递交材料的学院作自动放弃处理。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ascii="Calibri" w:hAnsi="Calibri" w:eastAsia="宋体" w:cs="宋体"/>
          <w:kern w:val="0"/>
          <w:sz w:val="24"/>
          <w:szCs w:val="24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</w:rPr>
        <w:t>．教务处会同相关部门，共同组织专家进行评审，确定我校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参加</w:t>
      </w:r>
      <w:r>
        <w:rPr>
          <w:rFonts w:hint="eastAsia" w:ascii="宋体" w:hAnsi="宋体" w:eastAsia="宋体" w:cs="宋体"/>
          <w:kern w:val="0"/>
          <w:sz w:val="24"/>
          <w:szCs w:val="24"/>
        </w:rPr>
        <w:t>访学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项目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kern w:val="0"/>
          <w:sz w:val="24"/>
          <w:szCs w:val="24"/>
        </w:rPr>
        <w:t>学生名单，并进行公示。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23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30" w:leftChars="0" w:firstLineChars="0"/>
        <w:jc w:val="left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费用情况</w:t>
      </w:r>
    </w:p>
    <w:tbl>
      <w:tblPr>
        <w:tblStyle w:val="5"/>
        <w:tblpPr w:leftFromText="180" w:rightFromText="180" w:vertAnchor="text" w:horzAnchor="page" w:tblpX="975" w:tblpY="208"/>
        <w:tblOverlap w:val="never"/>
        <w:tblW w:w="10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418"/>
        <w:gridCol w:w="2976"/>
        <w:gridCol w:w="1701"/>
        <w:gridCol w:w="1560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8" w:hRule="atLeast"/>
        </w:trPr>
        <w:tc>
          <w:tcPr>
            <w:tcW w:w="1702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等线" w:hAnsi="等线" w:eastAsia="等线" w:cstheme="minorHAnsi"/>
                <w:b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theme="minorHAnsi"/>
                <w:b/>
                <w:bCs/>
                <w:sz w:val="18"/>
                <w:szCs w:val="18"/>
              </w:rPr>
              <w:t>院校</w:t>
            </w:r>
          </w:p>
        </w:tc>
        <w:tc>
          <w:tcPr>
            <w:tcW w:w="1418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等线" w:hAnsi="等线" w:eastAsia="等线" w:cstheme="minorHAnsi"/>
                <w:b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theme="minorHAnsi"/>
                <w:b/>
                <w:bCs/>
                <w:sz w:val="18"/>
                <w:szCs w:val="18"/>
              </w:rPr>
              <w:t>项目方向</w:t>
            </w:r>
          </w:p>
        </w:tc>
        <w:tc>
          <w:tcPr>
            <w:tcW w:w="2976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等线" w:hAnsi="等线" w:eastAsia="等线" w:cstheme="minorHAnsi"/>
                <w:b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theme="minorHAnsi"/>
                <w:b/>
                <w:bCs/>
                <w:sz w:val="18"/>
                <w:szCs w:val="18"/>
              </w:rPr>
              <w:t>语言以及成绩要求</w:t>
            </w:r>
          </w:p>
        </w:tc>
        <w:tc>
          <w:tcPr>
            <w:tcW w:w="1701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等线" w:hAnsi="等线" w:eastAsia="等线" w:cstheme="minorHAnsi"/>
                <w:b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theme="minorHAnsi"/>
                <w:b/>
                <w:bCs/>
                <w:sz w:val="18"/>
                <w:szCs w:val="18"/>
              </w:rPr>
              <w:t>开学日期</w:t>
            </w:r>
          </w:p>
        </w:tc>
        <w:tc>
          <w:tcPr>
            <w:tcW w:w="1560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等线" w:hAnsi="等线" w:eastAsia="等线" w:cstheme="minorHAnsi"/>
                <w:b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theme="minorHAnsi"/>
                <w:b/>
                <w:bCs/>
                <w:sz w:val="18"/>
                <w:szCs w:val="18"/>
              </w:rPr>
              <w:t>申请截止日期</w:t>
            </w:r>
          </w:p>
        </w:tc>
        <w:tc>
          <w:tcPr>
            <w:tcW w:w="1543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等线" w:hAnsi="等线" w:eastAsia="等线" w:cstheme="minorHAnsi"/>
                <w:b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theme="minorHAnsi"/>
                <w:b/>
                <w:bCs/>
                <w:sz w:val="18"/>
                <w:szCs w:val="18"/>
              </w:rPr>
              <w:t>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等线" w:hAnsi="等线" w:eastAsia="等线" w:cstheme="minorHAnsi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加州大学欧文分校</w:t>
            </w:r>
          </w:p>
        </w:tc>
        <w:tc>
          <w:tcPr>
            <w:tcW w:w="1418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等线" w:hAnsi="等线" w:eastAsia="等线" w:cstheme="minorHAnsi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A</w:t>
            </w:r>
            <w:r>
              <w:rPr>
                <w:rFonts w:ascii="等线" w:hAnsi="等线" w:eastAsia="等线" w:cstheme="minorHAnsi"/>
                <w:bCs/>
                <w:sz w:val="18"/>
                <w:szCs w:val="18"/>
              </w:rPr>
              <w:t>SAP-G</w:t>
            </w: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eneral</w:t>
            </w:r>
          </w:p>
        </w:tc>
        <w:tc>
          <w:tcPr>
            <w:tcW w:w="2976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等线" w:hAnsi="等线" w:eastAsia="等线" w:cstheme="minorHAnsi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托福8</w:t>
            </w:r>
            <w:r>
              <w:rPr>
                <w:rFonts w:ascii="等线" w:hAnsi="等线" w:eastAsia="等线" w:cstheme="minorHAnsi"/>
                <w:bCs/>
                <w:sz w:val="18"/>
                <w:szCs w:val="18"/>
              </w:rPr>
              <w:t>0</w:t>
            </w: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、雅思6</w:t>
            </w:r>
            <w:r>
              <w:rPr>
                <w:rFonts w:ascii="等线" w:hAnsi="等线" w:eastAsia="等线" w:cstheme="minorHAnsi"/>
                <w:bCs/>
                <w:sz w:val="18"/>
                <w:szCs w:val="18"/>
              </w:rPr>
              <w:t>.5</w:t>
            </w: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、D</w:t>
            </w:r>
            <w:r>
              <w:rPr>
                <w:rFonts w:ascii="等线" w:hAnsi="等线" w:eastAsia="等线" w:cstheme="minorHAnsi"/>
                <w:bCs/>
                <w:sz w:val="18"/>
                <w:szCs w:val="18"/>
              </w:rPr>
              <w:t>uolingo 105</w:t>
            </w: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、C</w:t>
            </w:r>
            <w:r>
              <w:rPr>
                <w:rFonts w:ascii="等线" w:hAnsi="等线" w:eastAsia="等线" w:cstheme="minorHAnsi"/>
                <w:bCs/>
                <w:sz w:val="18"/>
                <w:szCs w:val="18"/>
              </w:rPr>
              <w:t>ET-4 493</w:t>
            </w: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、</w:t>
            </w:r>
            <w:r>
              <w:rPr>
                <w:rFonts w:ascii="等线" w:hAnsi="等线" w:eastAsia="等线" w:cstheme="minorHAnsi"/>
                <w:bCs/>
                <w:sz w:val="18"/>
                <w:szCs w:val="18"/>
              </w:rPr>
              <w:t>CET-6 450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等线" w:hAnsi="等线" w:eastAsia="等线" w:cstheme="minorHAnsi"/>
                <w:bCs/>
                <w:sz w:val="18"/>
                <w:szCs w:val="18"/>
              </w:rPr>
            </w:pPr>
            <w:r>
              <w:rPr>
                <w:rFonts w:ascii="等线" w:hAnsi="等线" w:eastAsia="等线" w:cstheme="minorHAnsi"/>
                <w:bCs/>
                <w:sz w:val="18"/>
                <w:szCs w:val="18"/>
              </w:rPr>
              <w:t>GPA 3.0</w:t>
            </w: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以上，完成一年本科课程</w:t>
            </w:r>
          </w:p>
        </w:tc>
        <w:tc>
          <w:tcPr>
            <w:tcW w:w="1701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等线" w:hAnsi="等线" w:eastAsia="等线" w:cstheme="minorHAnsi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theme="minorHAnsi"/>
                <w:b/>
                <w:bCs w:val="0"/>
                <w:sz w:val="18"/>
                <w:szCs w:val="18"/>
              </w:rPr>
              <w:t>春季：3月2</w:t>
            </w:r>
            <w:r>
              <w:rPr>
                <w:rFonts w:ascii="等线" w:hAnsi="等线" w:eastAsia="等线" w:cstheme="minorHAnsi"/>
                <w:b/>
                <w:bCs w:val="0"/>
                <w:sz w:val="18"/>
                <w:szCs w:val="18"/>
              </w:rPr>
              <w:t>7</w:t>
            </w:r>
            <w:r>
              <w:rPr>
                <w:rFonts w:hint="eastAsia" w:ascii="等线" w:hAnsi="等线" w:eastAsia="等线" w:cstheme="minorHAnsi"/>
                <w:b/>
                <w:bCs w:val="0"/>
                <w:sz w:val="18"/>
                <w:szCs w:val="18"/>
              </w:rPr>
              <w:t>日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等线" w:hAnsi="等线" w:eastAsia="等线" w:cstheme="minorHAnsi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秋季：9月1</w:t>
            </w:r>
            <w:r>
              <w:rPr>
                <w:rFonts w:ascii="等线" w:hAnsi="等线" w:eastAsia="等线" w:cstheme="minorHAnsi"/>
                <w:bCs/>
                <w:sz w:val="18"/>
                <w:szCs w:val="18"/>
              </w:rPr>
              <w:t>8</w:t>
            </w: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日</w:t>
            </w:r>
          </w:p>
        </w:tc>
        <w:tc>
          <w:tcPr>
            <w:tcW w:w="1560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等线" w:hAnsi="等线" w:eastAsia="等线" w:cstheme="minorHAnsi"/>
                <w:b/>
                <w:bCs w:val="0"/>
                <w:sz w:val="18"/>
                <w:szCs w:val="18"/>
              </w:rPr>
            </w:pPr>
            <w:r>
              <w:rPr>
                <w:rFonts w:hint="eastAsia" w:ascii="等线" w:hAnsi="等线" w:eastAsia="等线" w:cstheme="minorHAnsi"/>
                <w:b/>
                <w:bCs w:val="0"/>
                <w:sz w:val="18"/>
                <w:szCs w:val="18"/>
              </w:rPr>
              <w:t>春季：1月2</w:t>
            </w:r>
            <w:r>
              <w:rPr>
                <w:rFonts w:ascii="等线" w:hAnsi="等线" w:eastAsia="等线" w:cstheme="minorHAnsi"/>
                <w:b/>
                <w:bCs w:val="0"/>
                <w:sz w:val="18"/>
                <w:szCs w:val="18"/>
              </w:rPr>
              <w:t>7</w:t>
            </w:r>
            <w:r>
              <w:rPr>
                <w:rFonts w:hint="eastAsia" w:ascii="等线" w:hAnsi="等线" w:eastAsia="等线" w:cstheme="minorHAnsi"/>
                <w:b/>
                <w:bCs w:val="0"/>
                <w:sz w:val="18"/>
                <w:szCs w:val="18"/>
              </w:rPr>
              <w:t>日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等线" w:hAnsi="等线" w:eastAsia="等线" w:cstheme="minorHAnsi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秋季：7月1</w:t>
            </w:r>
            <w:r>
              <w:rPr>
                <w:rFonts w:ascii="等线" w:hAnsi="等线" w:eastAsia="等线" w:cstheme="minorHAnsi"/>
                <w:bCs/>
                <w:sz w:val="18"/>
                <w:szCs w:val="18"/>
              </w:rPr>
              <w:t>8</w:t>
            </w: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日</w:t>
            </w:r>
          </w:p>
        </w:tc>
        <w:tc>
          <w:tcPr>
            <w:tcW w:w="1543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等线" w:hAnsi="等线" w:eastAsia="等线" w:cstheme="minorHAnsi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theme="minorHAnsi"/>
                <w:b/>
                <w:bCs w:val="0"/>
                <w:sz w:val="18"/>
                <w:szCs w:val="18"/>
              </w:rPr>
              <w:t>课程费用： $8,200 /学期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等线" w:hAnsi="等线" w:eastAsia="等线" w:cstheme="minorHAnsi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加州大学欧文分校</w:t>
            </w:r>
          </w:p>
        </w:tc>
        <w:tc>
          <w:tcPr>
            <w:tcW w:w="1418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等线" w:hAnsi="等线" w:eastAsia="等线" w:cstheme="minorHAnsi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A</w:t>
            </w:r>
            <w:r>
              <w:rPr>
                <w:rFonts w:ascii="等线" w:hAnsi="等线" w:eastAsia="等线" w:cstheme="minorHAnsi"/>
                <w:bCs/>
                <w:sz w:val="18"/>
                <w:szCs w:val="18"/>
              </w:rPr>
              <w:t>SAP-CSL</w:t>
            </w:r>
          </w:p>
        </w:tc>
        <w:tc>
          <w:tcPr>
            <w:tcW w:w="2976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等线" w:hAnsi="等线" w:eastAsia="等线" w:cstheme="minorHAnsi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2个学期：托福7</w:t>
            </w:r>
            <w:r>
              <w:rPr>
                <w:rFonts w:ascii="等线" w:hAnsi="等线" w:eastAsia="等线" w:cstheme="minorHAnsi"/>
                <w:bCs/>
                <w:sz w:val="18"/>
                <w:szCs w:val="18"/>
              </w:rPr>
              <w:t>1</w:t>
            </w: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-</w:t>
            </w:r>
            <w:r>
              <w:rPr>
                <w:rFonts w:ascii="等线" w:hAnsi="等线" w:eastAsia="等线" w:cstheme="minorHAnsi"/>
                <w:bCs/>
                <w:sz w:val="18"/>
                <w:szCs w:val="18"/>
              </w:rPr>
              <w:t>79</w:t>
            </w: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等线" w:hAnsi="等线" w:eastAsia="等线" w:cstheme="minorHAnsi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3个学期：托福6</w:t>
            </w:r>
            <w:r>
              <w:rPr>
                <w:rFonts w:ascii="等线" w:hAnsi="等线" w:eastAsia="等线" w:cstheme="minorHAnsi"/>
                <w:bCs/>
                <w:sz w:val="18"/>
                <w:szCs w:val="18"/>
              </w:rPr>
              <w:t>.1-70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等线" w:hAnsi="等线" w:eastAsia="等线" w:cstheme="minorHAnsi"/>
                <w:bCs/>
                <w:sz w:val="18"/>
                <w:szCs w:val="18"/>
              </w:rPr>
            </w:pPr>
            <w:r>
              <w:rPr>
                <w:rFonts w:ascii="等线" w:hAnsi="等线" w:eastAsia="等线" w:cstheme="minorHAnsi"/>
                <w:bCs/>
                <w:sz w:val="18"/>
                <w:szCs w:val="18"/>
              </w:rPr>
              <w:t>GPA 3.0</w:t>
            </w: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以上，完成一年本科课程</w:t>
            </w:r>
          </w:p>
        </w:tc>
        <w:tc>
          <w:tcPr>
            <w:tcW w:w="1701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等线" w:hAnsi="等线" w:eastAsia="等线" w:cstheme="minorHAnsi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春季：3月2</w:t>
            </w:r>
            <w:r>
              <w:rPr>
                <w:rFonts w:ascii="等线" w:hAnsi="等线" w:eastAsia="等线" w:cstheme="minorHAnsi"/>
                <w:bCs/>
                <w:sz w:val="18"/>
                <w:szCs w:val="18"/>
              </w:rPr>
              <w:t>7</w:t>
            </w: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日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等线" w:hAnsi="等线" w:eastAsia="等线" w:cstheme="minorHAnsi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夏季：6月1</w:t>
            </w:r>
            <w:r>
              <w:rPr>
                <w:rFonts w:ascii="等线" w:hAnsi="等线" w:eastAsia="等线" w:cstheme="minorHAnsi"/>
                <w:bCs/>
                <w:sz w:val="18"/>
                <w:szCs w:val="18"/>
              </w:rPr>
              <w:t>8</w:t>
            </w: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日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等线" w:hAnsi="等线" w:eastAsia="等线" w:cstheme="minorHAnsi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秋季：9月2</w:t>
            </w:r>
            <w:r>
              <w:rPr>
                <w:rFonts w:ascii="等线" w:hAnsi="等线" w:eastAsia="等线" w:cstheme="minorHAnsi"/>
                <w:bCs/>
                <w:sz w:val="18"/>
                <w:szCs w:val="18"/>
              </w:rPr>
              <w:t>5</w:t>
            </w: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日</w:t>
            </w:r>
          </w:p>
        </w:tc>
        <w:tc>
          <w:tcPr>
            <w:tcW w:w="1560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等线" w:hAnsi="等线" w:eastAsia="等线" w:cstheme="minorHAnsi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春季：1月2</w:t>
            </w:r>
            <w:r>
              <w:rPr>
                <w:rFonts w:ascii="等线" w:hAnsi="等线" w:eastAsia="等线" w:cstheme="minorHAnsi"/>
                <w:bCs/>
                <w:sz w:val="18"/>
                <w:szCs w:val="18"/>
              </w:rPr>
              <w:t>7</w:t>
            </w: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日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等线" w:hAnsi="等线" w:eastAsia="等线" w:cstheme="minorHAnsi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夏季：4月1</w:t>
            </w:r>
            <w:r>
              <w:rPr>
                <w:rFonts w:ascii="等线" w:hAnsi="等线" w:eastAsia="等线" w:cstheme="minorHAnsi"/>
                <w:bCs/>
                <w:sz w:val="18"/>
                <w:szCs w:val="18"/>
              </w:rPr>
              <w:t>8</w:t>
            </w: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日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等线" w:hAnsi="等线" w:eastAsia="等线" w:cstheme="minorHAnsi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秋季：7月2</w:t>
            </w:r>
            <w:r>
              <w:rPr>
                <w:rFonts w:ascii="等线" w:hAnsi="等线" w:eastAsia="等线" w:cstheme="minorHAnsi"/>
                <w:bCs/>
                <w:sz w:val="18"/>
                <w:szCs w:val="18"/>
              </w:rPr>
              <w:t>5</w:t>
            </w: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日</w:t>
            </w:r>
          </w:p>
        </w:tc>
        <w:tc>
          <w:tcPr>
            <w:tcW w:w="1543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等线" w:hAnsi="等线" w:eastAsia="等线" w:cstheme="minorHAnsi"/>
                <w:bCs/>
                <w:sz w:val="18"/>
                <w:szCs w:val="18"/>
              </w:rPr>
            </w:pPr>
            <w:r>
              <w:rPr>
                <w:rFonts w:ascii="等线" w:hAnsi="等线" w:eastAsia="等线" w:cstheme="minorHAnsi"/>
                <w:bCs/>
                <w:sz w:val="18"/>
                <w:szCs w:val="18"/>
              </w:rPr>
              <w:t>2</w:t>
            </w: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学期课程费用： $</w:t>
            </w:r>
            <w:r>
              <w:rPr>
                <w:rFonts w:ascii="等线" w:hAnsi="等线" w:eastAsia="等线" w:cstheme="minorHAnsi"/>
                <w:bCs/>
                <w:sz w:val="18"/>
                <w:szCs w:val="18"/>
              </w:rPr>
              <w:t>16</w:t>
            </w: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，4</w:t>
            </w:r>
            <w:r>
              <w:rPr>
                <w:rFonts w:ascii="等线" w:hAnsi="等线" w:eastAsia="等线" w:cstheme="minorHAnsi"/>
                <w:bCs/>
                <w:sz w:val="18"/>
                <w:szCs w:val="18"/>
              </w:rPr>
              <w:t>00</w:t>
            </w:r>
          </w:p>
        </w:tc>
      </w:tr>
    </w:tbl>
    <w:p>
      <w:pPr>
        <w:pStyle w:val="3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yellow"/>
          <w:lang w:val="en-US" w:eastAsia="zh-CN"/>
        </w:rPr>
        <w:t>具体费用情况请咨询项目方负责人，见附件1</w:t>
      </w:r>
    </w:p>
    <w:p>
      <w:pPr>
        <w:pStyle w:val="3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rPr>
          <w:rFonts w:hint="default" w:ascii="宋体" w:hAnsi="宋体" w:eastAsia="宋体" w:cs="宋体"/>
          <w:b/>
          <w:bCs/>
          <w:kern w:val="0"/>
          <w:sz w:val="24"/>
          <w:szCs w:val="24"/>
          <w:highlight w:val="yellow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、其他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Calibri" w:hAnsi="Calibri" w:eastAsia="宋体" w:cs="宋体"/>
          <w:kern w:val="0"/>
          <w:sz w:val="24"/>
          <w:szCs w:val="24"/>
        </w:rPr>
        <w:t>1. </w:t>
      </w:r>
      <w:r>
        <w:rPr>
          <w:rFonts w:hint="eastAsia" w:ascii="宋体" w:hAnsi="宋体" w:eastAsia="宋体" w:cs="宋体"/>
          <w:kern w:val="0"/>
          <w:sz w:val="24"/>
          <w:szCs w:val="24"/>
        </w:rPr>
        <w:t>联系人：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国际合作交流处：李老师</w:t>
      </w:r>
      <w:r>
        <w:rPr>
          <w:rFonts w:ascii="Calibri" w:hAnsi="Calibri" w:eastAsia="宋体" w:cs="宋体"/>
          <w:kern w:val="0"/>
          <w:sz w:val="24"/>
          <w:szCs w:val="24"/>
        </w:rPr>
        <w:t> </w:t>
      </w:r>
      <w:r>
        <w:rPr>
          <w:rFonts w:hint="eastAsia" w:ascii="Arial" w:hAnsi="Arial" w:eastAsia="宋体" w:cs="Arial"/>
          <w:i w:val="0"/>
          <w:caps w:val="0"/>
          <w:color w:val="000000"/>
          <w:spacing w:val="0"/>
          <w:sz w:val="21"/>
          <w:szCs w:val="21"/>
          <w:lang w:val="en-US" w:eastAsia="zh-CN"/>
        </w:rPr>
        <w:t>85866716</w:t>
      </w:r>
      <w:r>
        <w:rPr>
          <w:rFonts w:hint="eastAsia" w:ascii="宋体" w:hAnsi="宋体" w:eastAsia="宋体" w:cs="宋体"/>
          <w:kern w:val="0"/>
          <w:sz w:val="24"/>
          <w:szCs w:val="24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教务处：于老师</w:t>
      </w:r>
      <w:r>
        <w:rPr>
          <w:rFonts w:ascii="Calibri" w:hAnsi="Calibri" w:eastAsia="宋体" w:cs="宋体"/>
          <w:kern w:val="0"/>
          <w:sz w:val="24"/>
          <w:szCs w:val="24"/>
        </w:rPr>
        <w:t>85866258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Calibri" w:hAnsi="Calibri" w:eastAsia="宋体" w:cs="宋体"/>
          <w:kern w:val="0"/>
          <w:sz w:val="24"/>
          <w:szCs w:val="24"/>
        </w:rPr>
        <w:t>2. </w:t>
      </w:r>
      <w:r>
        <w:rPr>
          <w:rFonts w:hint="eastAsia" w:ascii="宋体" w:hAnsi="宋体" w:eastAsia="宋体" w:cs="宋体"/>
          <w:kern w:val="0"/>
          <w:sz w:val="24"/>
          <w:szCs w:val="24"/>
        </w:rPr>
        <w:t>被录取学生需交纳材料，另行通知。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320" w:firstLineChars="18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040" w:firstLineChars="21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教务处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40" w:firstLineChars="185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Calibri" w:hAnsi="Calibri" w:eastAsia="宋体" w:cs="宋体"/>
          <w:kern w:val="0"/>
          <w:sz w:val="24"/>
          <w:szCs w:val="24"/>
        </w:rPr>
        <w:t>20</w:t>
      </w:r>
      <w:r>
        <w:rPr>
          <w:rFonts w:hint="eastAsia" w:ascii="Calibri" w:hAnsi="Calibri" w:eastAsia="宋体" w:cs="宋体"/>
          <w:kern w:val="0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Calibri" w:hAnsi="Calibri" w:eastAsia="宋体" w:cs="宋体"/>
          <w:kern w:val="0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Calibri" w:hAnsi="Calibri" w:eastAsia="宋体" w:cs="宋体"/>
          <w:kern w:val="0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kern w:val="0"/>
          <w:sz w:val="24"/>
          <w:szCs w:val="24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宋体" w:hAnsi="宋体" w:eastAsia="宋体" w:cs="宋体"/>
          <w:b/>
          <w:bCs/>
          <w:color w:val="0673C8"/>
          <w:kern w:val="0"/>
          <w:sz w:val="30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667F0BC-E8E3-4AC7-B680-0C8CD7766C2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  <w:embedRegular r:id="rId2" w:fontKey="{CE8C5ACE-612F-4EF1-9D91-9C86C80F5B98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BBD1807D-B5A1-41A6-B411-E42CB2A07F89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367C3569-E1C1-461C-AFC6-C2F109C3EED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46202E"/>
    <w:multiLevelType w:val="singleLevel"/>
    <w:tmpl w:val="8646202E"/>
    <w:lvl w:ilvl="0" w:tentative="0">
      <w:start w:val="5"/>
      <w:numFmt w:val="chineseCounting"/>
      <w:suff w:val="nothing"/>
      <w:lvlText w:val="%1、"/>
      <w:lvlJc w:val="left"/>
      <w:pPr>
        <w:ind w:left="630"/>
      </w:pPr>
      <w:rPr>
        <w:rFonts w:hint="eastAsia"/>
        <w:b/>
        <w:bCs/>
      </w:rPr>
    </w:lvl>
  </w:abstractNum>
  <w:abstractNum w:abstractNumId="1">
    <w:nsid w:val="138F7E54"/>
    <w:multiLevelType w:val="multilevel"/>
    <w:tmpl w:val="138F7E5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EF52A4F"/>
    <w:multiLevelType w:val="multilevel"/>
    <w:tmpl w:val="5EF52A4F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Yzk2NWQ5Yjk3N2M3NmUwNTFlY2MxMTEwODE4M2UifQ=="/>
  </w:docVars>
  <w:rsids>
    <w:rsidRoot w:val="673041E5"/>
    <w:rsid w:val="00471835"/>
    <w:rsid w:val="04720599"/>
    <w:rsid w:val="058229D9"/>
    <w:rsid w:val="05B62994"/>
    <w:rsid w:val="05E75C70"/>
    <w:rsid w:val="0CA13233"/>
    <w:rsid w:val="0D852B51"/>
    <w:rsid w:val="14EF7AC7"/>
    <w:rsid w:val="199E2028"/>
    <w:rsid w:val="20270A5D"/>
    <w:rsid w:val="25FB1F49"/>
    <w:rsid w:val="2F375037"/>
    <w:rsid w:val="35AF76E1"/>
    <w:rsid w:val="3AB807D8"/>
    <w:rsid w:val="3BAF5E42"/>
    <w:rsid w:val="461B0C51"/>
    <w:rsid w:val="48290E80"/>
    <w:rsid w:val="48B34C48"/>
    <w:rsid w:val="499A2DFD"/>
    <w:rsid w:val="552A1BC8"/>
    <w:rsid w:val="5652729B"/>
    <w:rsid w:val="5BAF3775"/>
    <w:rsid w:val="614E6EF1"/>
    <w:rsid w:val="64B06A31"/>
    <w:rsid w:val="673041E5"/>
    <w:rsid w:val="6B144D07"/>
    <w:rsid w:val="6CF41704"/>
    <w:rsid w:val="6DFE3435"/>
    <w:rsid w:val="6F173018"/>
    <w:rsid w:val="701477B9"/>
    <w:rsid w:val="7F5B0CFF"/>
    <w:rsid w:val="7FCF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pPr>
      <w:jc w:val="left"/>
    </w:pPr>
    <w:rPr>
      <w:rFonts w:ascii="Calibri" w:hAnsi="Courier New" w:eastAsia="宋体" w:cs="Courier New"/>
      <w:szCs w:val="21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0">
    <w:name w:val="normaltextrun"/>
    <w:basedOn w:val="6"/>
    <w:qFormat/>
    <w:uiPriority w:val="0"/>
  </w:style>
  <w:style w:type="paragraph" w:customStyle="1" w:styleId="11">
    <w:name w:val="contentpasted1"/>
    <w:basedOn w:val="1"/>
    <w:semiHidden/>
    <w:qFormat/>
    <w:uiPriority w:val="9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12">
    <w:name w:val="contentpasted11"/>
    <w:basedOn w:val="6"/>
    <w:qFormat/>
    <w:uiPriority w:val="0"/>
  </w:style>
  <w:style w:type="character" w:customStyle="1" w:styleId="13">
    <w:name w:val="contentpasted3"/>
    <w:basedOn w:val="6"/>
    <w:qFormat/>
    <w:uiPriority w:val="0"/>
  </w:style>
  <w:style w:type="paragraph" w:styleId="1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2420</Words>
  <Characters>2760</Characters>
  <Lines>0</Lines>
  <Paragraphs>0</Paragraphs>
  <TotalTime>8</TotalTime>
  <ScaleCrop>false</ScaleCrop>
  <LinksUpToDate>false</LinksUpToDate>
  <CharactersWithSpaces>2794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2022-03-21T00:45:00Z</dcterms:created>
  <dc:creator>李巍</dc:creator>
  <cp:lastModifiedBy>于华</cp:lastModifiedBy>
  <cp:lastPrinted>2023-12-14T05:58:53Z</cp:lastPrinted>
  <dcterms:modified xsi:type="dcterms:W3CDTF">2023-12-14T05:59:56Z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381CE3DE83E946599B9DCAB87415B8B7_13</vt:lpwstr>
  </property>
</Properties>
</file>