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440" w:lineRule="exact"/>
        <w:jc w:val="center"/>
        <w:rPr>
          <w:rFonts w:hint="eastAsia" w:ascii="宋体" w:hAnsi="宋体" w:eastAsia="宋体" w:cs="宋体"/>
          <w:b/>
          <w:bCs/>
          <w:kern w:val="0"/>
          <w:sz w:val="30"/>
          <w:szCs w:val="22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22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kern w:val="0"/>
          <w:sz w:val="30"/>
          <w:szCs w:val="22"/>
        </w:rPr>
        <w:t>2024年寒假</w:t>
      </w:r>
      <w:r>
        <w:rPr>
          <w:rFonts w:hint="eastAsia" w:ascii="宋体" w:hAnsi="宋体" w:eastAsia="宋体" w:cs="宋体"/>
          <w:b/>
          <w:bCs/>
          <w:kern w:val="0"/>
          <w:sz w:val="30"/>
          <w:szCs w:val="22"/>
          <w:lang w:val="en-US" w:eastAsia="zh-CN"/>
        </w:rPr>
        <w:t>香港理工大学访学项目</w:t>
      </w:r>
      <w:r>
        <w:rPr>
          <w:rFonts w:hint="eastAsia" w:ascii="宋体" w:hAnsi="宋体" w:eastAsia="宋体" w:cs="宋体"/>
          <w:b/>
          <w:bCs/>
          <w:kern w:val="0"/>
          <w:sz w:val="30"/>
          <w:szCs w:val="22"/>
        </w:rPr>
        <w:t>报名</w:t>
      </w:r>
      <w:r>
        <w:rPr>
          <w:rFonts w:hint="eastAsia" w:ascii="宋体" w:hAnsi="宋体" w:eastAsia="宋体" w:cs="宋体"/>
          <w:b/>
          <w:bCs/>
          <w:kern w:val="0"/>
          <w:sz w:val="30"/>
          <w:szCs w:val="22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kern w:val="0"/>
          <w:sz w:val="30"/>
          <w:szCs w:val="22"/>
        </w:rPr>
        <w:t>通知</w:t>
      </w:r>
    </w:p>
    <w:p>
      <w:pPr>
        <w:widowControl/>
        <w:numPr>
          <w:ilvl w:val="0"/>
          <w:numId w:val="1"/>
        </w:numPr>
        <w:spacing w:before="60" w:after="60" w:line="400" w:lineRule="exact"/>
        <w:ind w:firstLine="482" w:firstLineChars="200"/>
        <w:jc w:val="left"/>
        <w:rPr>
          <w:rFonts w:hint="eastAsia" w:ascii="宋体" w:hAnsi="宋体" w:cs="仿宋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/>
          <w:bCs/>
          <w:kern w:val="0"/>
          <w:sz w:val="24"/>
          <w:lang w:val="en-US" w:eastAsia="zh-CN"/>
        </w:rPr>
        <w:t>香港理工大学简介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kern w:val="0"/>
          <w:sz w:val="24"/>
          <w:lang w:eastAsia="zh-CN"/>
        </w:rPr>
      </w:pPr>
      <w:r>
        <w:rPr>
          <w:rFonts w:hint="eastAsia" w:ascii="宋体" w:hAnsi="宋体" w:cs="仿宋"/>
          <w:kern w:val="0"/>
          <w:sz w:val="24"/>
          <w:lang w:eastAsia="zh-CN"/>
        </w:rPr>
        <w:t>香港理工大学（理大）是一所既充满活力又拥有骄人历史的大学。理大毕业生的实用价值，更被雇主视为同侪之冠。大学在追求卓越学术水平的同时，会不断推陈出新，提供富实用性的专业课程、培训、应用研究及专业顾问等服务，支持工商企业的长远发展。大学并锐意培育既拥有专业知识和独立思考，又具备良好沟通技巧及广阔视野的首选毕业生。此外，理大又推行学分制，让学生可在选择学科和学习进度方面更具灵活性。理大多年来已培育了近二十四万名莘莘学子。这些毕业生在社会不同阶层担当独特的角色，以其知识才能回馈社会，为本港经济发展尽一分力。</w:t>
      </w:r>
    </w:p>
    <w:p>
      <w:pPr>
        <w:widowControl/>
        <w:spacing w:line="400" w:lineRule="exact"/>
        <w:ind w:firstLine="482" w:firstLineChars="200"/>
        <w:jc w:val="left"/>
        <w:rPr>
          <w:rFonts w:hint="default" w:ascii="宋体" w:hAnsi="宋体" w:cs="仿宋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/>
          <w:bCs/>
          <w:kern w:val="0"/>
          <w:sz w:val="24"/>
          <w:lang w:val="en-US" w:eastAsia="zh-CN"/>
        </w:rPr>
        <w:t>二、项目概况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kern w:val="0"/>
          <w:sz w:val="24"/>
          <w:lang w:val="en-US" w:eastAsia="zh-CN"/>
        </w:rPr>
      </w:pPr>
      <w:r>
        <w:rPr>
          <w:rFonts w:hint="eastAsia" w:ascii="宋体" w:hAnsi="宋体" w:cs="仿宋"/>
          <w:kern w:val="0"/>
          <w:sz w:val="24"/>
          <w:lang w:val="en-US" w:eastAsia="zh-CN"/>
        </w:rPr>
        <w:t>1. 项目背景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kern w:val="0"/>
          <w:sz w:val="24"/>
          <w:lang w:eastAsia="zh-CN"/>
        </w:rPr>
      </w:pPr>
      <w:r>
        <w:rPr>
          <w:rFonts w:hint="eastAsia" w:ascii="宋体" w:hAnsi="宋体" w:cs="仿宋"/>
          <w:kern w:val="0"/>
          <w:sz w:val="24"/>
          <w:lang w:eastAsia="zh-CN"/>
        </w:rPr>
        <w:t>为了让大学生有机会在世界一流的名校访学，感受顶尖名校的学习氛围，香港理工大学专业进修学院（PolyU SPEED）特举办多主题访学项目。学员将在PolyU SPEED进行模块的课堂学习, 届时由PolyU SPEED的资深讲师讲授精选项目。在访港期间，学生会参访香港知名院校、企业和政府机构，让学生体验香港的城市与企业魅力。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kern w:val="0"/>
          <w:sz w:val="24"/>
          <w:lang w:eastAsia="zh-CN"/>
        </w:rPr>
      </w:pPr>
      <w:r>
        <w:rPr>
          <w:rFonts w:hint="eastAsia" w:ascii="宋体" w:hAnsi="宋体" w:cs="仿宋"/>
          <w:kern w:val="0"/>
          <w:sz w:val="24"/>
          <w:lang w:eastAsia="zh-CN"/>
        </w:rPr>
        <w:t>项目结束后，香港理工大学专业进修学院（PolyU SPEED）将为每位学员颁发项目结业证书，为结业汇报优胜团队颁发推荐信。</w:t>
      </w:r>
    </w:p>
    <w:p>
      <w:pPr>
        <w:widowControl/>
        <w:numPr>
          <w:ilvl w:val="0"/>
          <w:numId w:val="2"/>
        </w:numPr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kern w:val="0"/>
          <w:sz w:val="24"/>
          <w:lang w:val="en-US" w:eastAsia="zh-CN"/>
        </w:rPr>
      </w:pPr>
      <w:r>
        <w:rPr>
          <w:rFonts w:hint="eastAsia" w:ascii="宋体" w:hAnsi="宋体" w:cs="仿宋"/>
          <w:kern w:val="0"/>
          <w:sz w:val="24"/>
          <w:lang w:val="en-US" w:eastAsia="zh-CN"/>
        </w:rPr>
        <w:t>项目主题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440"/>
        <w:gridCol w:w="1034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5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微软雅黑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3"/>
                <w:szCs w:val="23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课程主题</w:t>
            </w:r>
          </w:p>
        </w:tc>
        <w:tc>
          <w:tcPr>
            <w:tcW w:w="2440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微软雅黑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3"/>
                <w:szCs w:val="23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课程时间</w:t>
            </w:r>
          </w:p>
        </w:tc>
        <w:tc>
          <w:tcPr>
            <w:tcW w:w="1034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微软雅黑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3"/>
                <w:szCs w:val="23"/>
                <w:lang w:eastAsia="zh-CN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1527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微软雅黑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3"/>
                <w:szCs w:val="23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5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微软雅黑"/>
                <w:b/>
                <w:bCs/>
                <w:color w:val="0563C1"/>
                <w:sz w:val="23"/>
                <w:szCs w:val="23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563C1"/>
                <w:sz w:val="23"/>
                <w:szCs w:val="23"/>
                <w:lang w:eastAsia="zh-CN"/>
              </w:rPr>
              <w:t>商业管理与经济金融</w:t>
            </w:r>
          </w:p>
        </w:tc>
        <w:tc>
          <w:tcPr>
            <w:tcW w:w="2440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微软雅黑"/>
                <w:color w:val="000000" w:themeColor="text1"/>
                <w:sz w:val="23"/>
                <w:szCs w:val="23"/>
                <w:lang w:val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 w:val="23"/>
                <w:szCs w:val="23"/>
                <w:lang w:val="en-SG"/>
                <w14:textFill>
                  <w14:solidFill>
                    <w14:schemeClr w14:val="tx1"/>
                  </w14:solidFill>
                </w14:textFill>
              </w:rPr>
              <w:t>2024.01.28 – 02.03</w:t>
            </w:r>
          </w:p>
        </w:tc>
        <w:tc>
          <w:tcPr>
            <w:tcW w:w="1034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微软雅黑"/>
                <w:color w:val="21252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212529"/>
                <w:sz w:val="23"/>
                <w:szCs w:val="23"/>
                <w:lang w:val="en-SG"/>
              </w:rPr>
              <w:t>7天</w:t>
            </w:r>
          </w:p>
        </w:tc>
        <w:tc>
          <w:tcPr>
            <w:tcW w:w="1527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微软雅黑"/>
                <w:color w:val="21252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212529"/>
                <w:sz w:val="23"/>
                <w:szCs w:val="23"/>
                <w:lang w:val="en-SG"/>
              </w:rPr>
              <w:t>9800元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5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sz w:val="23"/>
                <w:szCs w:val="23"/>
                <w:u w:val="none"/>
                <w:lang w:eastAsia="zh-CN"/>
              </w:rPr>
            </w:pPr>
            <w:r>
              <w:rPr>
                <w:rStyle w:val="5"/>
                <w:rFonts w:ascii="微软雅黑" w:hAnsi="微软雅黑" w:eastAsia="微软雅黑" w:cs="微软雅黑"/>
                <w:b/>
                <w:bCs/>
                <w:sz w:val="23"/>
                <w:szCs w:val="23"/>
                <w:u w:val="none"/>
                <w:lang w:eastAsia="zh-CN"/>
              </w:rPr>
              <w:t>人工智能与科技创新</w:t>
            </w:r>
          </w:p>
        </w:tc>
        <w:tc>
          <w:tcPr>
            <w:tcW w:w="2440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微软雅黑"/>
                <w:color w:val="000000" w:themeColor="text1"/>
                <w:sz w:val="23"/>
                <w:szCs w:val="23"/>
                <w:lang w:val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 w:val="23"/>
                <w:szCs w:val="23"/>
                <w:lang w:val="en-SG"/>
                <w14:textFill>
                  <w14:solidFill>
                    <w14:schemeClr w14:val="tx1"/>
                  </w14:solidFill>
                </w14:textFill>
              </w:rPr>
              <w:t>2024.01.21 – 01.27</w:t>
            </w:r>
          </w:p>
        </w:tc>
        <w:tc>
          <w:tcPr>
            <w:tcW w:w="1034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微软雅黑"/>
                <w:color w:val="21252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212529"/>
                <w:sz w:val="23"/>
                <w:szCs w:val="23"/>
                <w:lang w:val="en-SG"/>
              </w:rPr>
              <w:t>7天</w:t>
            </w:r>
          </w:p>
        </w:tc>
        <w:tc>
          <w:tcPr>
            <w:tcW w:w="1527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微软雅黑"/>
                <w:color w:val="21252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212529"/>
                <w:sz w:val="23"/>
                <w:szCs w:val="23"/>
                <w:lang w:val="en-SG"/>
              </w:rPr>
              <w:t>9800元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5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sz w:val="23"/>
                <w:szCs w:val="23"/>
                <w:u w:val="none"/>
                <w:lang w:eastAsia="zh-CN"/>
              </w:rPr>
            </w:pPr>
            <w:r>
              <w:rPr>
                <w:rStyle w:val="5"/>
                <w:rFonts w:ascii="微软雅黑" w:hAnsi="微软雅黑" w:eastAsia="微软雅黑" w:cs="微软雅黑"/>
                <w:b/>
                <w:bCs/>
                <w:sz w:val="23"/>
                <w:szCs w:val="23"/>
                <w:u w:val="none"/>
                <w:lang w:eastAsia="zh-CN"/>
              </w:rPr>
              <w:t>领导力与创新</w:t>
            </w:r>
          </w:p>
        </w:tc>
        <w:tc>
          <w:tcPr>
            <w:tcW w:w="2440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微软雅黑"/>
                <w:color w:val="000000" w:themeColor="text1"/>
                <w:sz w:val="23"/>
                <w:szCs w:val="23"/>
                <w:lang w:val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 w:val="23"/>
                <w:szCs w:val="23"/>
                <w:lang w:val="en-SG"/>
                <w14:textFill>
                  <w14:solidFill>
                    <w14:schemeClr w14:val="tx1"/>
                  </w14:solidFill>
                </w14:textFill>
              </w:rPr>
              <w:t>2024.01.14 – 01.20</w:t>
            </w:r>
          </w:p>
        </w:tc>
        <w:tc>
          <w:tcPr>
            <w:tcW w:w="1034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微软雅黑"/>
                <w:color w:val="21252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212529"/>
                <w:sz w:val="23"/>
                <w:szCs w:val="23"/>
                <w:lang w:val="en-SG"/>
              </w:rPr>
              <w:t>7天</w:t>
            </w:r>
          </w:p>
        </w:tc>
        <w:tc>
          <w:tcPr>
            <w:tcW w:w="1527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微软雅黑"/>
                <w:color w:val="21252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212529"/>
                <w:sz w:val="23"/>
                <w:szCs w:val="23"/>
                <w:lang w:val="en-SG"/>
              </w:rPr>
              <w:t>9800元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5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sz w:val="23"/>
                <w:szCs w:val="23"/>
                <w:u w:val="none"/>
                <w:lang w:eastAsia="zh-CN"/>
              </w:rPr>
            </w:pPr>
            <w:r>
              <w:rPr>
                <w:rStyle w:val="5"/>
                <w:rFonts w:ascii="微软雅黑" w:hAnsi="微软雅黑" w:eastAsia="微软雅黑" w:cs="微软雅黑"/>
                <w:b/>
                <w:bCs/>
                <w:sz w:val="23"/>
                <w:szCs w:val="23"/>
                <w:u w:val="none"/>
                <w:lang w:eastAsia="zh-CN"/>
              </w:rPr>
              <w:t>医疗与公共卫生</w:t>
            </w:r>
          </w:p>
        </w:tc>
        <w:tc>
          <w:tcPr>
            <w:tcW w:w="2440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微软雅黑"/>
                <w:color w:val="000000" w:themeColor="text1"/>
                <w:sz w:val="23"/>
                <w:szCs w:val="23"/>
                <w:lang w:val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 w:val="23"/>
                <w:szCs w:val="23"/>
                <w:lang w:val="en-SG"/>
                <w14:textFill>
                  <w14:solidFill>
                    <w14:schemeClr w14:val="tx1"/>
                  </w14:solidFill>
                </w14:textFill>
              </w:rPr>
              <w:t>2024.02.18 – 02.24</w:t>
            </w:r>
          </w:p>
        </w:tc>
        <w:tc>
          <w:tcPr>
            <w:tcW w:w="1034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微软雅黑"/>
                <w:color w:val="21252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212529"/>
                <w:sz w:val="23"/>
                <w:szCs w:val="23"/>
                <w:lang w:val="en-SG"/>
              </w:rPr>
              <w:t>7天</w:t>
            </w:r>
          </w:p>
        </w:tc>
        <w:tc>
          <w:tcPr>
            <w:tcW w:w="1527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微软雅黑"/>
                <w:color w:val="21252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212529"/>
                <w:sz w:val="23"/>
                <w:szCs w:val="23"/>
                <w:lang w:val="en-SG"/>
              </w:rPr>
              <w:t>9800元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05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Style w:val="5"/>
                <w:rFonts w:ascii="微软雅黑" w:hAnsi="微软雅黑" w:eastAsia="微软雅黑" w:cs="微软雅黑"/>
                <w:b/>
                <w:bCs/>
                <w:sz w:val="23"/>
                <w:szCs w:val="23"/>
                <w:u w:val="none"/>
                <w:lang w:eastAsia="zh-CN"/>
              </w:rPr>
            </w:pPr>
            <w:r>
              <w:rPr>
                <w:rStyle w:val="5"/>
                <w:rFonts w:ascii="微软雅黑" w:hAnsi="微软雅黑" w:eastAsia="微软雅黑" w:cs="微软雅黑"/>
                <w:b/>
                <w:bCs/>
                <w:sz w:val="23"/>
                <w:szCs w:val="23"/>
                <w:u w:val="none"/>
                <w:lang w:eastAsia="zh-CN"/>
              </w:rPr>
              <w:t>纺织材料与服装设计</w:t>
            </w:r>
          </w:p>
        </w:tc>
        <w:tc>
          <w:tcPr>
            <w:tcW w:w="2440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微软雅黑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 w:val="23"/>
                <w:szCs w:val="23"/>
                <w:lang w:val="en-SG"/>
                <w14:textFill>
                  <w14:solidFill>
                    <w14:schemeClr w14:val="tx1"/>
                  </w14:solidFill>
                </w14:textFill>
              </w:rPr>
              <w:t>2024.02.18 – 02.24</w:t>
            </w:r>
          </w:p>
        </w:tc>
        <w:tc>
          <w:tcPr>
            <w:tcW w:w="1034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微软雅黑"/>
                <w:color w:val="21252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212529"/>
                <w:sz w:val="23"/>
                <w:szCs w:val="23"/>
                <w:lang w:val="en-SG"/>
              </w:rPr>
              <w:t>7天</w:t>
            </w:r>
          </w:p>
        </w:tc>
        <w:tc>
          <w:tcPr>
            <w:tcW w:w="1527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微软雅黑" w:hAnsi="微软雅黑" w:eastAsia="微软雅黑" w:cs="微软雅黑"/>
                <w:color w:val="212529"/>
                <w:sz w:val="23"/>
                <w:szCs w:val="23"/>
                <w:lang w:val="en-SG"/>
              </w:rPr>
            </w:pPr>
            <w:r>
              <w:rPr>
                <w:rFonts w:ascii="微软雅黑" w:hAnsi="微软雅黑" w:eastAsia="微软雅黑" w:cs="微软雅黑"/>
                <w:color w:val="212529"/>
                <w:sz w:val="23"/>
                <w:szCs w:val="23"/>
                <w:lang w:val="en-SG"/>
              </w:rPr>
              <w:t>9800元</w:t>
            </w:r>
          </w:p>
        </w:tc>
      </w:tr>
    </w:tbl>
    <w:p>
      <w:pPr>
        <w:widowControl/>
        <w:numPr>
          <w:ilvl w:val="0"/>
          <w:numId w:val="0"/>
        </w:numPr>
        <w:spacing w:before="60" w:after="60" w:line="400" w:lineRule="exact"/>
        <w:jc w:val="left"/>
        <w:rPr>
          <w:rFonts w:hint="default" w:ascii="宋体" w:hAnsi="宋体" w:cs="仿宋"/>
          <w:kern w:val="0"/>
          <w:sz w:val="24"/>
          <w:lang w:val="en-US" w:eastAsia="zh-CN"/>
        </w:rPr>
      </w:pPr>
      <w:r>
        <w:rPr>
          <w:rFonts w:hint="eastAsia" w:ascii="宋体" w:hAnsi="宋体" w:cs="仿宋"/>
          <w:kern w:val="0"/>
          <w:sz w:val="24"/>
          <w:lang w:val="en-US" w:eastAsia="zh-CN"/>
        </w:rPr>
        <w:t>* 课程详情请见附件1。</w:t>
      </w:r>
    </w:p>
    <w:p>
      <w:pPr>
        <w:widowControl/>
        <w:numPr>
          <w:ilvl w:val="0"/>
          <w:numId w:val="0"/>
        </w:numPr>
        <w:ind w:leftChars="200"/>
        <w:rPr>
          <w:rFonts w:hint="default" w:ascii="宋体" w:hAnsi="宋体" w:cs="仿宋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仿宋"/>
          <w:color w:val="000000"/>
          <w:kern w:val="0"/>
          <w:sz w:val="24"/>
          <w:lang w:val="en-US" w:eastAsia="zh-CN"/>
        </w:rPr>
        <w:t>3.项目收获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27" w:type="dxa"/>
          <w:right w:w="28" w:type="dxa"/>
        </w:tblCellMar>
      </w:tblPr>
      <w:tblGrid>
        <w:gridCol w:w="1743"/>
        <w:gridCol w:w="6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27" w:type="dxa"/>
            <w:right w:w="28" w:type="dxa"/>
          </w:tblCellMar>
        </w:tblPrEx>
        <w:tc>
          <w:tcPr>
            <w:tcW w:w="17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结业证书</w:t>
            </w:r>
          </w:p>
        </w:tc>
        <w:tc>
          <w:tcPr>
            <w:tcW w:w="661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学院将在结业仪式上为每位学员颁发结业证书，既是对学员项目顺利结业的认可，也是作为对此次境外访学经历的证明。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27" w:type="dxa"/>
            <w:right w:w="28" w:type="dxa"/>
          </w:tblCellMar>
        </w:tblPrEx>
        <w:tc>
          <w:tcPr>
            <w:tcW w:w="174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推荐信</w:t>
            </w:r>
          </w:p>
        </w:tc>
        <w:tc>
          <w:tcPr>
            <w:tcW w:w="661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 Narrow" w:hAnsi="Arial Narrow" w:eastAsia="宋体" w:cs="Calibri"/>
                <w:b/>
                <w:bCs/>
                <w:kern w:val="2"/>
                <w:sz w:val="22"/>
                <w:szCs w:val="22"/>
                <w:lang w:val="en-US" w:eastAsia="zh-CN" w:bidi="ar-SA"/>
              </w:rPr>
              <w:t>主课教授将根据结业比赛的表现，评出优胜小组，并在结业仪式上为最佳小组的成员签发推荐信。推荐信在学员日后的留学、求职中起到不可或缺的润色作用。</w:t>
            </w:r>
          </w:p>
        </w:tc>
      </w:tr>
    </w:tbl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仿宋"/>
          <w:kern w:val="0"/>
          <w:sz w:val="24"/>
          <w:lang w:val="en-US" w:eastAsia="zh-CN"/>
        </w:rPr>
        <w:t>三、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申请资格与条件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000000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</w:rPr>
        <w:t>1. 在校本科生。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000000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仿宋"/>
          <w:color w:val="000000"/>
          <w:kern w:val="0"/>
          <w:sz w:val="24"/>
        </w:rPr>
        <w:t>. 身心健康，道德品质好，能圆满完成学习任务。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000000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cs="仿宋"/>
          <w:color w:val="000000"/>
          <w:kern w:val="0"/>
          <w:sz w:val="24"/>
        </w:rPr>
        <w:t>. 已交足我校规定的各项费用，具有一定的经济能力。</w:t>
      </w:r>
    </w:p>
    <w:p>
      <w:pPr>
        <w:pStyle w:val="7"/>
        <w:widowControl/>
        <w:spacing w:line="400" w:lineRule="exact"/>
        <w:ind w:firstLine="482" w:firstLineChars="200"/>
        <w:jc w:val="left"/>
        <w:rPr>
          <w:rFonts w:hint="eastAsia" w:ascii="宋体" w:hAnsi="宋体" w:cs="仿宋"/>
          <w:b/>
          <w:kern w:val="0"/>
          <w:sz w:val="24"/>
        </w:rPr>
      </w:pPr>
      <w:r>
        <w:rPr>
          <w:rFonts w:hint="eastAsia" w:ascii="宋体" w:hAnsi="宋体" w:cs="仿宋"/>
          <w:b/>
          <w:kern w:val="0"/>
          <w:sz w:val="24"/>
          <w:lang w:val="en-US" w:eastAsia="zh-CN"/>
        </w:rPr>
        <w:t>四</w:t>
      </w:r>
      <w:r>
        <w:rPr>
          <w:rFonts w:hint="eastAsia" w:ascii="宋体" w:hAnsi="宋体" w:cs="仿宋"/>
          <w:b/>
          <w:kern w:val="0"/>
          <w:sz w:val="24"/>
        </w:rPr>
        <w:t>、报名程序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1．采取“个人申请、学院推荐、专家评审、择优录取”的方式进行选拔。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2．申请人应向所在学院提交以下材料：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（1）《南京邮电大学本科生海外访学申请表》；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（2）英语水平证明及复印件；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（3）学术科研能力证明材料及复印件（包括论文发表、参与竞赛、项目等）；</w:t>
      </w:r>
    </w:p>
    <w:p>
      <w:pPr>
        <w:pStyle w:val="7"/>
        <w:widowControl/>
        <w:spacing w:line="400" w:lineRule="exact"/>
        <w:ind w:firstLine="480" w:firstLineChars="200"/>
        <w:jc w:val="left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（4）获奖证书及复印件。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3．申请人申请材料交至各学院，学院根据申请资格与条件对申请人进行筛选、排序并填写《南京邮电大学本科生海外访学申请汇总表》，于</w:t>
      </w:r>
      <w:r>
        <w:rPr>
          <w:rFonts w:hint="eastAsia" w:ascii="宋体" w:hAnsi="宋体" w:cs="仿宋"/>
          <w:b/>
          <w:bCs/>
          <w:color w:val="333333"/>
          <w:kern w:val="0"/>
          <w:sz w:val="24"/>
        </w:rPr>
        <w:t>1</w:t>
      </w:r>
      <w:r>
        <w:rPr>
          <w:rFonts w:hint="eastAsia" w:ascii="宋体" w:hAnsi="宋体" w:cs="仿宋"/>
          <w:b/>
          <w:bCs/>
          <w:color w:val="333333"/>
          <w:kern w:val="0"/>
          <w:sz w:val="24"/>
          <w:lang w:val="en-US" w:eastAsia="zh-CN"/>
        </w:rPr>
        <w:t>2</w:t>
      </w:r>
      <w:r>
        <w:rPr>
          <w:rFonts w:hint="eastAsia" w:ascii="宋体" w:hAnsi="宋体" w:cs="仿宋"/>
          <w:b/>
          <w:bCs/>
          <w:color w:val="333333"/>
          <w:kern w:val="0"/>
          <w:sz w:val="24"/>
        </w:rPr>
        <w:t>月</w:t>
      </w:r>
      <w:r>
        <w:rPr>
          <w:rFonts w:hint="eastAsia" w:ascii="宋体" w:hAnsi="宋体" w:cs="仿宋"/>
          <w:b/>
          <w:bCs/>
          <w:color w:val="333333"/>
          <w:kern w:val="0"/>
          <w:sz w:val="24"/>
          <w:lang w:val="en-US" w:eastAsia="zh-CN"/>
        </w:rPr>
        <w:t>13</w:t>
      </w:r>
      <w:r>
        <w:rPr>
          <w:rFonts w:hint="eastAsia" w:ascii="宋体" w:hAnsi="宋体" w:cs="仿宋"/>
          <w:b/>
          <w:bCs/>
          <w:color w:val="333333"/>
          <w:kern w:val="0"/>
          <w:sz w:val="24"/>
        </w:rPr>
        <w:t>日</w:t>
      </w:r>
      <w:r>
        <w:rPr>
          <w:rFonts w:hint="eastAsia" w:ascii="宋体" w:hAnsi="宋体" w:cs="仿宋"/>
          <w:color w:val="333333"/>
          <w:kern w:val="0"/>
          <w:sz w:val="24"/>
        </w:rPr>
        <w:t>前将候选人申请材料及汇总表交至教务处实践教学科，逾期不递交材料的学院作自动放弃处理。</w:t>
      </w:r>
    </w:p>
    <w:p>
      <w:pPr>
        <w:widowControl/>
        <w:spacing w:before="60" w:after="60" w:line="400" w:lineRule="exact"/>
        <w:ind w:firstLine="480" w:firstLineChars="200"/>
        <w:jc w:val="left"/>
      </w:pPr>
      <w:r>
        <w:rPr>
          <w:rFonts w:hint="eastAsia" w:ascii="宋体" w:hAnsi="宋体" w:cs="仿宋"/>
          <w:color w:val="333333"/>
          <w:kern w:val="0"/>
          <w:sz w:val="24"/>
        </w:rPr>
        <w:t>4．教务处会同相关部门，共同组织专家进行评审，确定我校参加该项目的学生名单，并进行公示。</w:t>
      </w:r>
    </w:p>
    <w:p>
      <w:pPr>
        <w:pStyle w:val="7"/>
        <w:widowControl/>
        <w:spacing w:line="400" w:lineRule="exact"/>
        <w:ind w:firstLine="482" w:firstLineChars="200"/>
        <w:jc w:val="left"/>
        <w:rPr>
          <w:rFonts w:hint="eastAsia" w:ascii="宋体" w:hAnsi="宋体" w:cs="仿宋"/>
          <w:b/>
          <w:kern w:val="0"/>
          <w:sz w:val="24"/>
        </w:rPr>
      </w:pPr>
      <w:r>
        <w:rPr>
          <w:rFonts w:hint="eastAsia" w:ascii="宋体" w:hAnsi="宋体" w:cs="仿宋"/>
          <w:b/>
          <w:kern w:val="0"/>
          <w:sz w:val="24"/>
          <w:lang w:val="en-US" w:eastAsia="zh-CN"/>
        </w:rPr>
        <w:t>五</w:t>
      </w:r>
      <w:r>
        <w:rPr>
          <w:rFonts w:hint="eastAsia" w:ascii="宋体" w:hAnsi="宋体" w:cs="仿宋"/>
          <w:b/>
          <w:kern w:val="0"/>
          <w:sz w:val="24"/>
        </w:rPr>
        <w:t>、其他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1.联系人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国际合作交流处：侍老师 83492393</w:t>
      </w:r>
    </w:p>
    <w:p>
      <w:pPr>
        <w:widowControl/>
        <w:spacing w:before="60" w:after="60" w:line="400" w:lineRule="exact"/>
        <w:ind w:firstLine="480" w:firstLineChars="200"/>
        <w:jc w:val="left"/>
        <w:rPr>
          <w:rFonts w:hint="eastAsia" w:ascii="宋体" w:hAnsi="宋体" w:cs="仿宋"/>
          <w:color w:val="333333"/>
          <w:kern w:val="0"/>
          <w:sz w:val="24"/>
        </w:rPr>
      </w:pPr>
      <w:r>
        <w:rPr>
          <w:rFonts w:hint="eastAsia" w:ascii="宋体" w:hAnsi="宋体" w:cs="仿宋"/>
          <w:color w:val="333333"/>
          <w:kern w:val="0"/>
          <w:sz w:val="24"/>
        </w:rPr>
        <w:t>教务处： 于老师 85866258</w:t>
      </w:r>
    </w:p>
    <w:p>
      <w:pPr>
        <w:widowControl/>
        <w:numPr>
          <w:ilvl w:val="0"/>
          <w:numId w:val="3"/>
        </w:numPr>
        <w:spacing w:before="60" w:after="60" w:line="400" w:lineRule="exact"/>
        <w:ind w:firstLine="480" w:firstLineChars="200"/>
        <w:jc w:val="left"/>
        <w:rPr>
          <w:rFonts w:hint="eastAsia"/>
        </w:rPr>
      </w:pPr>
      <w:r>
        <w:rPr>
          <w:rFonts w:hint="eastAsia" w:ascii="宋体" w:hAnsi="宋体" w:cs="仿宋"/>
          <w:color w:val="333333"/>
          <w:kern w:val="0"/>
          <w:sz w:val="24"/>
        </w:rPr>
        <w:t>被录取学生需交纳材料，另行通知</w:t>
      </w:r>
      <w:r>
        <w:rPr>
          <w:rFonts w:hint="eastAsia" w:ascii="宋体" w:hAnsi="宋体" w:cs="仿宋"/>
          <w:color w:val="333333"/>
          <w:kern w:val="0"/>
          <w:sz w:val="24"/>
          <w:lang w:eastAsia="zh-CN"/>
        </w:rPr>
        <w:t>。</w:t>
      </w:r>
      <w:r>
        <w:rPr>
          <w:rFonts w:hint="eastAsia"/>
        </w:rPr>
        <w:t xml:space="preserve">    </w:t>
      </w:r>
    </w:p>
    <w:p>
      <w:pPr>
        <w:tabs>
          <w:tab w:val="left" w:pos="1528"/>
        </w:tabs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教务处</w:t>
      </w:r>
    </w:p>
    <w:p>
      <w:pPr>
        <w:tabs>
          <w:tab w:val="left" w:pos="1528"/>
        </w:tabs>
        <w:jc w:val="right"/>
      </w:pPr>
      <w:r>
        <w:rPr>
          <w:rFonts w:hint="eastAsia"/>
          <w:sz w:val="24"/>
        </w:rPr>
        <w:t>2023年9月</w:t>
      </w:r>
      <w:r>
        <w:rPr>
          <w:rFonts w:hint="eastAsia"/>
          <w:sz w:val="24"/>
          <w:lang w:val="en-US" w:eastAsia="zh-CN"/>
        </w:rPr>
        <w:t>25</w:t>
      </w:r>
      <w:bookmarkStart w:id="0" w:name="_GoBack"/>
      <w:bookmarkEnd w:id="0"/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D5294"/>
    <w:multiLevelType w:val="singleLevel"/>
    <w:tmpl w:val="A15D529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25A53DC"/>
    <w:multiLevelType w:val="singleLevel"/>
    <w:tmpl w:val="B25A53DC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4EDE9F23"/>
    <w:multiLevelType w:val="singleLevel"/>
    <w:tmpl w:val="4EDE9F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k2NWQ5Yjk3N2M3NmUwNTFlY2MxMTEwODE4M2UifQ=="/>
  </w:docVars>
  <w:rsids>
    <w:rsidRoot w:val="7B9C6D39"/>
    <w:rsid w:val="558B7EE7"/>
    <w:rsid w:val="66A91868"/>
    <w:rsid w:val="7B9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列出段落"/>
    <w:basedOn w:val="1"/>
    <w:qFormat/>
    <w:uiPriority w:val="34"/>
    <w:pPr>
      <w:widowControl w:val="0"/>
      <w:spacing w:after="0" w:line="240" w:lineRule="auto"/>
      <w:ind w:firstLine="420" w:firstLineChars="200"/>
      <w:jc w:val="both"/>
    </w:pPr>
    <w:rPr>
      <w:rFonts w:eastAsia="宋体"/>
      <w:kern w:val="2"/>
      <w:sz w:val="21"/>
      <w:lang w:eastAsia="zh-CN"/>
    </w:rPr>
  </w:style>
  <w:style w:type="paragraph" w:customStyle="1" w:styleId="7">
    <w:name w:val="List Paragraph1"/>
    <w:basedOn w:val="1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1162</Words>
  <Characters>1311</Characters>
  <Lines>0</Lines>
  <Paragraphs>0</Paragraphs>
  <TotalTime>1</TotalTime>
  <ScaleCrop>false</ScaleCrop>
  <LinksUpToDate>false</LinksUpToDate>
  <CharactersWithSpaces>1340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2023-09-22T06:46:00Z</dcterms:created>
  <dc:creator>侍洁</dc:creator>
  <cp:lastModifiedBy>于华</cp:lastModifiedBy>
  <dcterms:modified xsi:type="dcterms:W3CDTF">2023-09-25T08:18:06Z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885D41037B34430CBE850659A6D01250</vt:lpwstr>
  </property>
</Properties>
</file>