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分校寒假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科研课程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寒假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科研课程，让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学生利用暑期时间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 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600" w:firstLineChars="2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UCI 在202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推出Experience University Research, Online Course (线上科研课程，EUR），让国际学生可以利用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假期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提前适应美国学习风格、浸入式地感受美国的文化和学术氛围。EUR是一个具有学术挑战性的美国大学科研体验课程，其教学宗旨是让国际学生能够充分利用这所美国 “前十”公立大学顶尖的师资优势和教学资源，通过本课程可获得前瞻性的专业知识，了解专业发展方向，从而进一步拓展学术视野和职业规划水平。由于课程将会有美国本土以及来自其它国家的学生参加，参加课程国际学生必须有一定的英语水平（建议托福成绩为 60 分以上）。大学科研课程(EUR)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寒假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课程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2024年1月22日-2月16日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包含各种特别演讲、参观、会议和社交活动。在排名前十的美国公立大学与来自世界各地的学生在小班课堂学习，培养实用技能，获得宝贵经验，为进入大学/研究生学习提高竞争力或为开始职业生涯做好更好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color w:val="0673C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Schedule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课程安排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及费用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CA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必修课程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CA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440" w:lineRule="exact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Writing 40 or Academic Speaking &amp; Writing 写作与修辞学概论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4学分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440" w:lineRule="exact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选修课程：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440" w:lineRule="exact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Portfolio Management &amp; Financial Markets 投资组合管理与金融市场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2学分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440" w:lineRule="exact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Leadership &amp; Project Management运营管理和领导力培训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2学分</w:t>
      </w:r>
    </w:p>
    <w:tbl>
      <w:tblPr>
        <w:tblStyle w:val="4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033"/>
                <w:sz w:val="21"/>
                <w:szCs w:val="21"/>
                <w:shd w:val="clear" w:color="auto" w:fill="FFFFFF"/>
                <w:lang w:eastAsia="zh-CN"/>
              </w:rPr>
              <w:t>Winter 2024</w:t>
            </w:r>
          </w:p>
        </w:tc>
        <w:tc>
          <w:tcPr>
            <w:tcW w:w="2977" w:type="dxa"/>
            <w:tcBorders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Topic主题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 w:bidi="ar"/>
              </w:rPr>
              <w:t>Fee费用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outlineLvl w:val="0"/>
              <w:rPr>
                <w:rFonts w:ascii="Times New Roman" w:hAnsi="Times New Roman" w:eastAsia="华文宋体" w:cs="Times New Roman"/>
                <w:b/>
                <w:bCs/>
                <w:kern w:val="36"/>
                <w:sz w:val="21"/>
                <w:szCs w:val="21"/>
              </w:rPr>
            </w:pPr>
            <w:r>
              <w:rPr>
                <w:rFonts w:ascii="Times New Roman" w:hAnsi="Times New Roman" w:eastAsia="华文宋体" w:cs="Times New Roman"/>
                <w:b/>
                <w:bCs/>
                <w:kern w:val="36"/>
                <w:sz w:val="21"/>
                <w:szCs w:val="21"/>
              </w:rPr>
              <w:t>January 22 – February 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 w:bidi="ar"/>
              </w:rPr>
              <w:t>1月22日-2月16日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必修课：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Academic Speaking &amp; Writing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(4</w:t>
            </w:r>
            <w:r>
              <w:rPr>
                <w:rFonts w:ascii="Times New Roman" w:hAnsi="Times New Roman" w:eastAsia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units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/40 hours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选修课（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a.</w:t>
            </w:r>
            <w:r>
              <w:fldChar w:fldCharType="begin"/>
            </w:r>
            <w:r>
              <w:instrText xml:space="preserve"> HYPERLINK "http://javascript:;" \t "C:/Users/apcec/AppData/Roaming/Foxmail7/Temp-4532-20230821075918/_blank"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Portfolio Management and Financial Modeling 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fldChar w:fldCharType="end"/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投资组合管理和财务建模（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 units/20 hours)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Leadership &amp; Program Management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1"/>
                <w:szCs w:val="21"/>
              </w:rPr>
              <w:t>运营管理领导</w:t>
            </w:r>
            <w:r>
              <w:rPr>
                <w:rFonts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力培训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 units/20 hours)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10" w:line="240" w:lineRule="auto"/>
              <w:jc w:val="left"/>
              <w:rPr>
                <w:color w:val="232323"/>
                <w:szCs w:val="21"/>
              </w:rPr>
            </w:pPr>
            <w:r>
              <w:rPr>
                <w:color w:val="232323"/>
                <w:szCs w:val="21"/>
              </w:rPr>
              <w:t>Apllication Feee</w:t>
            </w:r>
            <w:r>
              <w:rPr>
                <w:rFonts w:hint="eastAsia"/>
                <w:color w:val="232323"/>
                <w:szCs w:val="21"/>
              </w:rPr>
              <w:t xml:space="preserve"> </w:t>
            </w:r>
            <w:r>
              <w:rPr>
                <w:rFonts w:eastAsia="Times New Roman"/>
                <w:color w:val="232323"/>
                <w:szCs w:val="21"/>
              </w:rPr>
              <w:t>$200</w:t>
            </w:r>
            <w:r>
              <w:rPr>
                <w:color w:val="232323"/>
                <w:szCs w:val="21"/>
              </w:rPr>
              <w:t>(</w:t>
            </w:r>
            <w:r>
              <w:rPr>
                <w:color w:val="000000"/>
                <w:szCs w:val="21"/>
                <w:shd w:val="clear" w:color="auto" w:fill="FFFFFF"/>
              </w:rPr>
              <w:t>non-refundable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40" w:lineRule="auto"/>
              <w:ind w:left="463"/>
              <w:jc w:val="left"/>
              <w:rPr>
                <w:szCs w:val="21"/>
              </w:rPr>
            </w:pPr>
            <w:r>
              <w:rPr>
                <w:color w:val="232323"/>
                <w:szCs w:val="21"/>
              </w:rPr>
              <w:t>申请费：</w:t>
            </w:r>
            <w:r>
              <w:rPr>
                <w:rFonts w:eastAsia="Times New Roman"/>
                <w:color w:val="232323"/>
                <w:szCs w:val="21"/>
              </w:rPr>
              <w:t>$200</w:t>
            </w:r>
            <w:r>
              <w:rPr>
                <w:rFonts w:hint="eastAsia"/>
                <w:color w:val="232323"/>
                <w:szCs w:val="21"/>
              </w:rPr>
              <w:t>（不可退还）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jc w:val="left"/>
              <w:rPr>
                <w:color w:val="232323"/>
                <w:szCs w:val="21"/>
              </w:rPr>
            </w:pPr>
            <w:r>
              <w:rPr>
                <w:color w:val="232323"/>
                <w:szCs w:val="21"/>
              </w:rPr>
              <w:t>Tuition</w:t>
            </w:r>
            <w:r>
              <w:rPr>
                <w:rFonts w:hint="eastAsia"/>
                <w:color w:val="232323"/>
                <w:szCs w:val="21"/>
              </w:rPr>
              <w:t>：</w:t>
            </w:r>
            <w:r>
              <w:rPr>
                <w:rFonts w:eastAsia="Times New Roman"/>
                <w:color w:val="232323"/>
                <w:szCs w:val="21"/>
              </w:rPr>
              <w:t>$2,400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ind w:left="463"/>
              <w:jc w:val="left"/>
              <w:rPr>
                <w:rFonts w:eastAsia="Times New Roman"/>
                <w:szCs w:val="21"/>
              </w:rPr>
            </w:pPr>
            <w:r>
              <w:rPr>
                <w:color w:val="232323"/>
                <w:szCs w:val="21"/>
              </w:rPr>
              <w:t>学费</w:t>
            </w:r>
            <w:r>
              <w:rPr>
                <w:rFonts w:eastAsia="Times New Roman"/>
                <w:color w:val="232323"/>
                <w:szCs w:val="21"/>
              </w:rPr>
              <w:t>:</w:t>
            </w:r>
            <w:r>
              <w:rPr>
                <w:rFonts w:eastAsia="Times New Roman"/>
                <w:color w:val="232323"/>
                <w:spacing w:val="-4"/>
                <w:szCs w:val="21"/>
              </w:rPr>
              <w:t xml:space="preserve"> </w:t>
            </w:r>
            <w:r>
              <w:rPr>
                <w:rFonts w:eastAsia="Times New Roman"/>
                <w:color w:val="232323"/>
                <w:szCs w:val="21"/>
              </w:rPr>
              <w:t>$2,400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Student Services Fee $160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ind w:left="463"/>
              <w:jc w:val="left"/>
              <w:rPr>
                <w:rFonts w:eastAsia="Times New Roman"/>
                <w:szCs w:val="21"/>
              </w:rPr>
            </w:pPr>
            <w:r>
              <w:rPr>
                <w:color w:val="232323"/>
                <w:szCs w:val="21"/>
              </w:rPr>
              <w:t>学生服务费</w:t>
            </w:r>
            <w:r>
              <w:rPr>
                <w:rFonts w:eastAsia="Times New Roman"/>
                <w:color w:val="232323"/>
                <w:szCs w:val="21"/>
              </w:rPr>
              <w:t>:</w:t>
            </w:r>
            <w:r>
              <w:rPr>
                <w:rFonts w:eastAsia="Times New Roman"/>
                <w:color w:val="232323"/>
                <w:spacing w:val="-2"/>
                <w:szCs w:val="21"/>
              </w:rPr>
              <w:t xml:space="preserve"> </w:t>
            </w:r>
            <w:r>
              <w:rPr>
                <w:rFonts w:eastAsia="Times New Roman"/>
                <w:color w:val="232323"/>
                <w:szCs w:val="21"/>
              </w:rPr>
              <w:t>$160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jc w:val="left"/>
              <w:rPr>
                <w:color w:val="242424"/>
                <w:szCs w:val="21"/>
                <w:shd w:val="clear" w:color="auto" w:fill="FFFFFF"/>
              </w:rPr>
            </w:pPr>
            <w:r>
              <w:rPr>
                <w:color w:val="242424"/>
                <w:szCs w:val="21"/>
                <w:shd w:val="clear" w:color="auto" w:fill="FFFFFF"/>
              </w:rPr>
              <w:t xml:space="preserve">Health Insurance </w:t>
            </w:r>
            <w:r>
              <w:rPr>
                <w:rFonts w:eastAsia="Times New Roman"/>
                <w:color w:val="232323"/>
                <w:szCs w:val="21"/>
              </w:rPr>
              <w:t>$200</w:t>
            </w:r>
            <w:r>
              <w:rPr>
                <w:color w:val="232323"/>
                <w:szCs w:val="21"/>
              </w:rPr>
              <w:t>*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ind w:left="463"/>
              <w:jc w:val="left"/>
              <w:rPr>
                <w:color w:val="242424"/>
                <w:szCs w:val="21"/>
                <w:shd w:val="clear" w:color="auto" w:fill="FFFFFF"/>
              </w:rPr>
            </w:pPr>
            <w:r>
              <w:rPr>
                <w:color w:val="232323"/>
                <w:szCs w:val="21"/>
              </w:rPr>
              <w:t>医疗保险</w:t>
            </w:r>
            <w:r>
              <w:rPr>
                <w:rFonts w:eastAsia="Times New Roman"/>
                <w:color w:val="232323"/>
                <w:szCs w:val="21"/>
              </w:rPr>
              <w:t>:</w:t>
            </w:r>
            <w:r>
              <w:rPr>
                <w:rFonts w:eastAsia="Times New Roman"/>
                <w:color w:val="232323"/>
                <w:spacing w:val="-4"/>
                <w:szCs w:val="21"/>
              </w:rPr>
              <w:t xml:space="preserve"> </w:t>
            </w:r>
            <w:r>
              <w:rPr>
                <w:rFonts w:eastAsia="Times New Roman"/>
                <w:color w:val="232323"/>
                <w:szCs w:val="21"/>
              </w:rPr>
              <w:t>$200</w:t>
            </w:r>
            <w:r>
              <w:rPr>
                <w:color w:val="232323"/>
                <w:szCs w:val="21"/>
              </w:rPr>
              <w:t>*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jc w:val="left"/>
              <w:rPr>
                <w:color w:val="232323"/>
                <w:szCs w:val="21"/>
              </w:rPr>
            </w:pPr>
            <w:r>
              <w:rPr>
                <w:color w:val="232323"/>
                <w:szCs w:val="21"/>
              </w:rPr>
              <w:t>Airport Pick up Fee $75 each way*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3" w:line="240" w:lineRule="auto"/>
              <w:ind w:left="463"/>
              <w:jc w:val="left"/>
              <w:rPr>
                <w:szCs w:val="21"/>
              </w:rPr>
            </w:pPr>
            <w:r>
              <w:rPr>
                <w:color w:val="232323"/>
                <w:szCs w:val="21"/>
              </w:rPr>
              <w:t>学校接机:$75*（LAX-UCI单程）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232323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232323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32323"/>
                <w:sz w:val="21"/>
                <w:szCs w:val="21"/>
                <w:lang w:eastAsia="zh-CN"/>
              </w:rPr>
              <w:t>Total合计：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2323"/>
                <w:sz w:val="21"/>
                <w:szCs w:val="21"/>
                <w:lang w:eastAsia="zh-CN"/>
              </w:rPr>
              <w:t>$</w:t>
            </w:r>
            <w:r>
              <w:rPr>
                <w:rFonts w:ascii="Times New Roman" w:hAnsi="Times New Roman" w:eastAsia="宋体" w:cs="Times New Roman"/>
                <w:b/>
                <w:bCs/>
                <w:color w:val="232323"/>
                <w:sz w:val="21"/>
                <w:szCs w:val="21"/>
                <w:lang w:eastAsia="zh-CN"/>
              </w:rPr>
              <w:t>3,035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Not included: Meals, homestay, airport pickup, weekend activities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color w:val="232323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232323"/>
                <w:sz w:val="21"/>
                <w:szCs w:val="21"/>
                <w:lang w:eastAsia="zh-CN"/>
              </w:rPr>
              <w:t>注：a.*可选服务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center"/>
              <w:rPr>
                <w:rFonts w:ascii="Times New Roman" w:hAnsi="Times New Roman" w:eastAsia="宋体" w:cs="Times New Roman"/>
                <w:color w:val="232323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232323"/>
                <w:sz w:val="21"/>
                <w:szCs w:val="21"/>
                <w:lang w:eastAsia="zh-CN"/>
              </w:rPr>
              <w:t>b.以上费用不含周末活动，不含食宿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*Winter EUR students need to stay in homestay as UCI dorms are not available in winter.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寒假EUR的学生需要住Homestay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*Schedules,topics and instructors may be adjusted depends on fact.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课程的时间表、认可教师以及开设的专业会根据实际情况调整。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*Weekend activities fee are not included in the above fee.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CA" w:eastAsia="zh-CN"/>
        </w:rPr>
        <w:t>以上费用不包含周末活动费，如需参加学校的活动，可以到校后咨询并额外交费。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注意：具体项目内容、课程设计、授课教师介绍与各项目时间安排详见附件1，具体费用情况请咨询项目方负责人，申请课程学生的具体学术及语言要求请仔细阅读附件1。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申请人目前应为我校在读的优秀全日制本科学生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3.学习成绩优异，具有较强的、扎实的专业理论基础和实践能力，平均绩点达到 2.5 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（1）《南京邮电大学本科生海外访学申请表》（附件2）；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3．申请人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10月19日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将申请材料交至各学院，学院根据申请资格与条件对申请人进行筛选、排序并填写《南京邮电大学本科生海外访学申请汇总表》（附件3），于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 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教务处：于老师85866258。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 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5280" w:firstLineChars="2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0" w:firstLineChars="2000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A7586"/>
    <w:multiLevelType w:val="multilevel"/>
    <w:tmpl w:val="46CA7586"/>
    <w:lvl w:ilvl="0" w:tentative="0">
      <w:start w:val="1"/>
      <w:numFmt w:val="decimal"/>
      <w:lvlText w:val="%1）"/>
      <w:lvlJc w:val="left"/>
      <w:pPr>
        <w:ind w:left="463" w:hanging="360"/>
      </w:pPr>
      <w:rPr>
        <w:rFonts w:hint="default" w:eastAsia="Times New Roman"/>
      </w:rPr>
    </w:lvl>
    <w:lvl w:ilvl="1" w:tentative="0">
      <w:start w:val="1"/>
      <w:numFmt w:val="lowerLetter"/>
      <w:lvlText w:val="%2)"/>
      <w:lvlJc w:val="left"/>
      <w:pPr>
        <w:ind w:left="983" w:hanging="440"/>
      </w:pPr>
    </w:lvl>
    <w:lvl w:ilvl="2" w:tentative="0">
      <w:start w:val="1"/>
      <w:numFmt w:val="lowerRoman"/>
      <w:lvlText w:val="%3."/>
      <w:lvlJc w:val="right"/>
      <w:pPr>
        <w:ind w:left="1423" w:hanging="440"/>
      </w:pPr>
    </w:lvl>
    <w:lvl w:ilvl="3" w:tentative="0">
      <w:start w:val="1"/>
      <w:numFmt w:val="decimal"/>
      <w:lvlText w:val="%4."/>
      <w:lvlJc w:val="left"/>
      <w:pPr>
        <w:ind w:left="1863" w:hanging="440"/>
      </w:pPr>
    </w:lvl>
    <w:lvl w:ilvl="4" w:tentative="0">
      <w:start w:val="1"/>
      <w:numFmt w:val="lowerLetter"/>
      <w:lvlText w:val="%5)"/>
      <w:lvlJc w:val="left"/>
      <w:pPr>
        <w:ind w:left="2303" w:hanging="440"/>
      </w:pPr>
    </w:lvl>
    <w:lvl w:ilvl="5" w:tentative="0">
      <w:start w:val="1"/>
      <w:numFmt w:val="lowerRoman"/>
      <w:lvlText w:val="%6."/>
      <w:lvlJc w:val="right"/>
      <w:pPr>
        <w:ind w:left="2743" w:hanging="440"/>
      </w:pPr>
    </w:lvl>
    <w:lvl w:ilvl="6" w:tentative="0">
      <w:start w:val="1"/>
      <w:numFmt w:val="decimal"/>
      <w:lvlText w:val="%7."/>
      <w:lvlJc w:val="left"/>
      <w:pPr>
        <w:ind w:left="3183" w:hanging="440"/>
      </w:pPr>
    </w:lvl>
    <w:lvl w:ilvl="7" w:tentative="0">
      <w:start w:val="1"/>
      <w:numFmt w:val="lowerLetter"/>
      <w:lvlText w:val="%8)"/>
      <w:lvlJc w:val="left"/>
      <w:pPr>
        <w:ind w:left="3623" w:hanging="440"/>
      </w:pPr>
    </w:lvl>
    <w:lvl w:ilvl="8" w:tentative="0">
      <w:start w:val="1"/>
      <w:numFmt w:val="lowerRoman"/>
      <w:lvlText w:val="%9."/>
      <w:lvlJc w:val="right"/>
      <w:pPr>
        <w:ind w:left="406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673041E5"/>
    <w:rsid w:val="00471835"/>
    <w:rsid w:val="01CC0D2E"/>
    <w:rsid w:val="04720599"/>
    <w:rsid w:val="04C0046D"/>
    <w:rsid w:val="05B62994"/>
    <w:rsid w:val="05E75C70"/>
    <w:rsid w:val="0D852B51"/>
    <w:rsid w:val="1BBB6700"/>
    <w:rsid w:val="20515ADA"/>
    <w:rsid w:val="25FB1F49"/>
    <w:rsid w:val="2D3F07FF"/>
    <w:rsid w:val="2F375037"/>
    <w:rsid w:val="35AF76E1"/>
    <w:rsid w:val="41927B1C"/>
    <w:rsid w:val="461B0C51"/>
    <w:rsid w:val="64B06A31"/>
    <w:rsid w:val="673041E5"/>
    <w:rsid w:val="6CF41704"/>
    <w:rsid w:val="72C2329A"/>
    <w:rsid w:val="74A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Table Paragraph"/>
    <w:basedOn w:val="1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2417</Characters>
  <Lines>0</Lines>
  <Paragraphs>0</Paragraphs>
  <TotalTime>3</TotalTime>
  <ScaleCrop>false</ScaleCrop>
  <LinksUpToDate>false</LinksUpToDate>
  <CharactersWithSpaces>2532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于华</cp:lastModifiedBy>
  <cp:lastPrinted>2023-09-11T02:35:00Z</cp:lastPrinted>
  <dcterms:modified xsi:type="dcterms:W3CDTF">2023-09-11T02:38:20Z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65A0DEA877B94BD989035860F3AAF346_13</vt:lpwstr>
  </property>
</Properties>
</file>