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06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6"/>
      </w:tblGrid>
      <w:tr w:rsidR="00C708AA">
        <w:trPr>
          <w:trHeight w:val="600"/>
          <w:jc w:val="center"/>
        </w:trPr>
        <w:tc>
          <w:tcPr>
            <w:tcW w:w="8906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C708AA" w:rsidRDefault="00937E9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673C8"/>
                <w:kern w:val="0"/>
                <w:sz w:val="30"/>
                <w:szCs w:val="30"/>
              </w:rPr>
            </w:pPr>
            <w:r w:rsidRPr="00816D19">
              <w:rPr>
                <w:rFonts w:ascii="宋体" w:eastAsia="宋体" w:hAnsi="宋体" w:cs="宋体" w:hint="eastAsia"/>
                <w:b/>
                <w:bCs/>
                <w:kern w:val="0"/>
                <w:sz w:val="30"/>
              </w:rPr>
              <w:t>关于2022年德州大学奥斯汀分校寒假线上国际学术课程报名的通知</w:t>
            </w:r>
          </w:p>
        </w:tc>
      </w:tr>
    </w:tbl>
    <w:p w:rsidR="00C708AA" w:rsidRDefault="00937E9A" w:rsidP="00130EF4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各学院：</w:t>
      </w:r>
    </w:p>
    <w:p w:rsidR="00C708AA" w:rsidRDefault="00937E9A" w:rsidP="00130EF4">
      <w:pPr>
        <w:widowControl/>
        <w:spacing w:line="40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根据我校与美国德州大学奥斯汀分校（简称奥斯汀分校）友好协商，现拟选派学生于</w:t>
      </w:r>
      <w:r>
        <w:rPr>
          <w:rFonts w:ascii="Calibri" w:eastAsia="宋体" w:hAnsi="Calibri" w:cs="Calibri" w:hint="eastAsia"/>
          <w:kern w:val="0"/>
          <w:sz w:val="24"/>
          <w:szCs w:val="24"/>
        </w:rPr>
        <w:t>2022</w:t>
      </w:r>
      <w:r>
        <w:rPr>
          <w:rFonts w:ascii="宋体" w:eastAsia="宋体" w:hAnsi="宋体" w:cs="宋体" w:hint="eastAsia"/>
          <w:kern w:val="0"/>
          <w:sz w:val="24"/>
          <w:szCs w:val="24"/>
        </w:rPr>
        <w:t>年寒假期间参加在线</w:t>
      </w:r>
      <w:r>
        <w:rPr>
          <w:rFonts w:asciiTheme="minorEastAsia" w:hAnsiTheme="minorEastAsia" w:cstheme="minorHAnsi" w:hint="eastAsia"/>
          <w:sz w:val="24"/>
          <w:szCs w:val="24"/>
        </w:rPr>
        <w:t>国际学术</w:t>
      </w:r>
      <w:r>
        <w:rPr>
          <w:rFonts w:ascii="宋体" w:eastAsia="宋体" w:hAnsi="宋体" w:cs="宋体" w:hint="eastAsia"/>
          <w:kern w:val="0"/>
          <w:sz w:val="24"/>
          <w:szCs w:val="24"/>
        </w:rPr>
        <w:t>课程项目，让学生可以利用寒假期间足不出户地</w:t>
      </w:r>
      <w:r>
        <w:rPr>
          <w:rFonts w:ascii="宋体" w:eastAsia="宋体" w:hAnsi="宋体" w:cs="宋体" w:hint="eastAsia"/>
          <w:kern w:val="0"/>
          <w:sz w:val="24"/>
          <w:szCs w:val="24"/>
          <w:lang w:val="en-CA"/>
        </w:rPr>
        <w:t>深度探索和学习前沿的研究领域知识、</w:t>
      </w:r>
      <w:r>
        <w:rPr>
          <w:rFonts w:ascii="宋体" w:eastAsia="宋体" w:hAnsi="宋体" w:cs="宋体" w:hint="eastAsia"/>
          <w:kern w:val="0"/>
          <w:sz w:val="24"/>
          <w:szCs w:val="24"/>
        </w:rPr>
        <w:t>适应美国顶级高校教学风格、感受美国的文化和学术氛围。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现启动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申请工作。</w:t>
      </w:r>
    </w:p>
    <w:p w:rsidR="00C708AA" w:rsidRDefault="00C708AA" w:rsidP="00130EF4">
      <w:pPr>
        <w:widowControl/>
        <w:spacing w:line="40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708AA" w:rsidRPr="00FB4560" w:rsidRDefault="00FB4560" w:rsidP="00FB4560">
      <w:pPr>
        <w:widowControl/>
        <w:spacing w:line="400" w:lineRule="exact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一、奥斯汀分校简介</w:t>
      </w:r>
    </w:p>
    <w:p w:rsidR="00C708AA" w:rsidRDefault="00937E9A" w:rsidP="00130EF4">
      <w:pPr>
        <w:pStyle w:val="a4"/>
        <w:spacing w:line="400" w:lineRule="exact"/>
        <w:ind w:firstLineChars="150" w:firstLine="360"/>
        <w:rPr>
          <w:rFonts w:asciiTheme="minorEastAsia" w:hAnsiTheme="minorEastAsia" w:cstheme="minorHAnsi"/>
          <w:sz w:val="24"/>
          <w:szCs w:val="24"/>
        </w:rPr>
      </w:pPr>
      <w:r>
        <w:rPr>
          <w:rFonts w:asciiTheme="minorEastAsia" w:hAnsiTheme="minorEastAsia" w:cstheme="minorHAnsi"/>
          <w:sz w:val="24"/>
          <w:szCs w:val="24"/>
        </w:rPr>
        <w:t>德克萨斯大学奥斯汀分校</w:t>
      </w:r>
      <w:r>
        <w:rPr>
          <w:rFonts w:asciiTheme="minorEastAsia" w:hAnsiTheme="minorEastAsia" w:cstheme="minorHAnsi" w:hint="eastAsia"/>
          <w:sz w:val="24"/>
          <w:szCs w:val="24"/>
        </w:rPr>
        <w:t>（</w:t>
      </w:r>
      <w:r>
        <w:rPr>
          <w:rFonts w:asciiTheme="minorEastAsia" w:hAnsiTheme="minorEastAsia" w:cstheme="minorHAnsi"/>
          <w:sz w:val="24"/>
          <w:szCs w:val="24"/>
        </w:rPr>
        <w:t>The University of Texas at Austin</w:t>
      </w:r>
      <w:r>
        <w:rPr>
          <w:rFonts w:asciiTheme="minorEastAsia" w:hAnsiTheme="minorEastAsia" w:cstheme="minorHAnsi" w:hint="eastAsia"/>
          <w:sz w:val="24"/>
          <w:szCs w:val="24"/>
        </w:rPr>
        <w:t>，简称UT）在U.S.NEWS &amp; World Report</w:t>
      </w:r>
      <w:r>
        <w:rPr>
          <w:rFonts w:asciiTheme="minorEastAsia" w:hAnsiTheme="minorEastAsia" w:cstheme="minorHAnsi"/>
          <w:sz w:val="24"/>
          <w:szCs w:val="24"/>
        </w:rPr>
        <w:t xml:space="preserve"> </w:t>
      </w:r>
      <w:r>
        <w:rPr>
          <w:rFonts w:asciiTheme="minorEastAsia" w:hAnsiTheme="minorEastAsia" w:cstheme="minorHAnsi" w:hint="eastAsia"/>
          <w:sz w:val="24"/>
          <w:szCs w:val="24"/>
        </w:rPr>
        <w:t>2022</w:t>
      </w:r>
      <w:r>
        <w:rPr>
          <w:rFonts w:asciiTheme="minorEastAsia" w:hAnsiTheme="minorEastAsia" w:cstheme="minorHAnsi"/>
          <w:sz w:val="24"/>
          <w:szCs w:val="24"/>
        </w:rPr>
        <w:t>年美国大学综合排名中</w:t>
      </w:r>
      <w:r>
        <w:rPr>
          <w:rFonts w:asciiTheme="minorEastAsia" w:hAnsiTheme="minorEastAsia" w:cstheme="minorHAnsi" w:hint="eastAsia"/>
          <w:sz w:val="24"/>
          <w:szCs w:val="24"/>
        </w:rPr>
        <w:t>名列42</w:t>
      </w:r>
      <w:r>
        <w:rPr>
          <w:rFonts w:asciiTheme="minorEastAsia" w:hAnsiTheme="minorEastAsia" w:cstheme="minorHAnsi"/>
          <w:sz w:val="24"/>
          <w:szCs w:val="24"/>
        </w:rPr>
        <w:t>位</w:t>
      </w:r>
      <w:r>
        <w:rPr>
          <w:rFonts w:asciiTheme="minorEastAsia" w:hAnsiTheme="minorEastAsia" w:cstheme="minorHAnsi" w:hint="eastAsia"/>
          <w:sz w:val="24"/>
          <w:szCs w:val="24"/>
        </w:rPr>
        <w:t>，QS 2022年世界大学排名第67位，</w:t>
      </w:r>
      <w:r>
        <w:rPr>
          <w:rFonts w:asciiTheme="minorEastAsia" w:hAnsiTheme="minorEastAsia" w:cstheme="minorHAnsi"/>
          <w:sz w:val="24"/>
          <w:szCs w:val="24"/>
        </w:rPr>
        <w:t xml:space="preserve"> </w:t>
      </w:r>
      <w:r>
        <w:rPr>
          <w:rFonts w:asciiTheme="minorEastAsia" w:hAnsiTheme="minorEastAsia" w:cstheme="minorHAnsi" w:hint="eastAsia"/>
          <w:sz w:val="24"/>
          <w:szCs w:val="24"/>
        </w:rPr>
        <w:t>UT是一所公立研究型大学，也是德州大学系统中的旗舰王牌。德州大学奥斯汀分校共设有</w:t>
      </w:r>
      <w:r>
        <w:rPr>
          <w:rFonts w:asciiTheme="minorEastAsia" w:hAnsiTheme="minorEastAsia" w:cstheme="minorHAnsi"/>
          <w:sz w:val="24"/>
          <w:szCs w:val="24"/>
        </w:rPr>
        <w:t>18</w:t>
      </w:r>
      <w:r>
        <w:rPr>
          <w:rFonts w:asciiTheme="minorEastAsia" w:hAnsiTheme="minorEastAsia" w:cstheme="minorHAnsi" w:hint="eastAsia"/>
          <w:sz w:val="24"/>
          <w:szCs w:val="24"/>
        </w:rPr>
        <w:t>个学院，提供119个本科学位课程和223个研究生专业学位课程。</w:t>
      </w:r>
    </w:p>
    <w:p w:rsidR="00C708AA" w:rsidRDefault="00C708AA" w:rsidP="00130EF4">
      <w:pPr>
        <w:pStyle w:val="a4"/>
        <w:spacing w:line="400" w:lineRule="exact"/>
        <w:ind w:firstLineChars="150" w:firstLine="360"/>
        <w:rPr>
          <w:rFonts w:asciiTheme="minorEastAsia" w:hAnsiTheme="minorEastAsia" w:cstheme="minorHAnsi"/>
          <w:sz w:val="24"/>
          <w:szCs w:val="24"/>
        </w:rPr>
      </w:pPr>
    </w:p>
    <w:p w:rsidR="00C708AA" w:rsidRPr="00FB4560" w:rsidRDefault="00937E9A" w:rsidP="00130EF4">
      <w:pPr>
        <w:widowControl/>
        <w:spacing w:line="400" w:lineRule="exact"/>
        <w:ind w:firstLineChars="100" w:firstLine="241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FB456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二、项目简介</w:t>
      </w:r>
    </w:p>
    <w:p w:rsidR="00C708AA" w:rsidRDefault="00937E9A" w:rsidP="00130EF4">
      <w:pPr>
        <w:pStyle w:val="a4"/>
        <w:spacing w:line="400" w:lineRule="exact"/>
        <w:ind w:firstLineChars="150" w:firstLine="360"/>
        <w:rPr>
          <w:rFonts w:asciiTheme="minorEastAsia" w:hAnsiTheme="minorEastAsia" w:cstheme="minorHAnsi"/>
          <w:sz w:val="24"/>
          <w:szCs w:val="24"/>
        </w:rPr>
      </w:pPr>
      <w:r>
        <w:rPr>
          <w:rFonts w:asciiTheme="minorEastAsia" w:hAnsiTheme="minorEastAsia" w:cstheme="minorHAnsi" w:hint="eastAsia"/>
          <w:sz w:val="24"/>
          <w:szCs w:val="24"/>
        </w:rPr>
        <w:t>国际学术课程</w:t>
      </w:r>
      <w:r>
        <w:rPr>
          <w:rFonts w:asciiTheme="minorEastAsia" w:hAnsiTheme="minorEastAsia" w:cstheme="minorHAnsi"/>
          <w:sz w:val="24"/>
          <w:szCs w:val="24"/>
        </w:rPr>
        <w:t xml:space="preserve"> (International Academy)</w:t>
      </w:r>
      <w:r>
        <w:rPr>
          <w:rFonts w:asciiTheme="minorEastAsia" w:hAnsiTheme="minorEastAsia" w:cstheme="minorHAnsi" w:hint="eastAsia"/>
          <w:sz w:val="24"/>
          <w:szCs w:val="24"/>
        </w:rPr>
        <w:t>是德州大学奥斯汀分校每年为来自全世界大学生</w:t>
      </w:r>
      <w:r>
        <w:rPr>
          <w:rFonts w:asciiTheme="minorEastAsia" w:hAnsiTheme="minorEastAsia" w:cstheme="minorHAnsi"/>
          <w:sz w:val="24"/>
          <w:szCs w:val="24"/>
        </w:rPr>
        <w:t>/</w:t>
      </w:r>
      <w:r>
        <w:rPr>
          <w:rFonts w:asciiTheme="minorEastAsia" w:hAnsiTheme="minorEastAsia" w:cstheme="minorHAnsi" w:hint="eastAsia"/>
          <w:sz w:val="24"/>
          <w:szCs w:val="24"/>
        </w:rPr>
        <w:t>研究生定制的寒暑期“科研”课程。课程的学术和科研含量是完全是按照大学各专业要求而设定的。由于新冠肺炎 COVID-19 的影响，UT Austin 2022 年寒假国际学术课程依然 采取在线教学模式，课程质量和授课内容与原课程一致，由名校名师教授在线授课，让这些优秀的学生 不用跨出国门也可以享受奥斯汀的课堂资源，接受全球顶尖的学术教育。</w:t>
      </w:r>
    </w:p>
    <w:p w:rsidR="00C708AA" w:rsidRDefault="00937E9A" w:rsidP="00130EF4">
      <w:pPr>
        <w:spacing w:line="400" w:lineRule="exac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  <w:u w:val="single"/>
        </w:rPr>
        <w:t>课程专业方向</w:t>
      </w:r>
      <w:r>
        <w:rPr>
          <w:rFonts w:ascii="宋体" w:eastAsia="宋体" w:hAnsi="宋体" w:cs="宋体" w:hint="eastAsia"/>
          <w:b/>
          <w:sz w:val="24"/>
          <w:szCs w:val="24"/>
        </w:rPr>
        <w:t xml:space="preserve">    （三选一）</w:t>
      </w:r>
    </w:p>
    <w:p w:rsidR="00C708AA" w:rsidRDefault="00937E9A" w:rsidP="00130EF4">
      <w:pPr>
        <w:widowControl/>
        <w:shd w:val="clear" w:color="auto" w:fill="FFFFFF"/>
        <w:spacing w:line="400" w:lineRule="exac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2022年，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The International Academy Program</w:t>
      </w:r>
      <w:r>
        <w:rPr>
          <w:rFonts w:ascii="宋体" w:eastAsia="宋体" w:hAnsi="宋体" w:cs="宋体" w:hint="eastAsia"/>
          <w:kern w:val="0"/>
          <w:sz w:val="24"/>
          <w:szCs w:val="24"/>
        </w:rPr>
        <w:t>寒假课程将有以下三大专业方向选择，这些所开设的专业课程，都是UT Austin在美国大学专业排名前十的王牌专业：</w:t>
      </w:r>
    </w:p>
    <w:p w:rsidR="00C708AA" w:rsidRDefault="00937E9A" w:rsidP="00130EF4">
      <w:pPr>
        <w:widowControl/>
        <w:numPr>
          <w:ilvl w:val="0"/>
          <w:numId w:val="1"/>
        </w:numPr>
        <w:shd w:val="clear" w:color="auto" w:fill="FFFFFF"/>
        <w:spacing w:line="400" w:lineRule="exact"/>
        <w:ind w:left="410" w:hangingChars="170" w:hanging="41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Accounting会计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(University/Grad)-“本、硕、博连续14年排名全美第一”</w:t>
      </w:r>
    </w:p>
    <w:p w:rsidR="00C708AA" w:rsidRDefault="00937E9A" w:rsidP="00130EF4">
      <w:pPr>
        <w:widowControl/>
        <w:numPr>
          <w:ilvl w:val="0"/>
          <w:numId w:val="1"/>
        </w:numPr>
        <w:shd w:val="clear" w:color="auto" w:fill="FFFFFF"/>
        <w:spacing w:line="400" w:lineRule="exact"/>
        <w:ind w:left="410" w:hangingChars="170" w:hanging="41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Engineering 工程 </w:t>
      </w:r>
      <w:r>
        <w:rPr>
          <w:rFonts w:ascii="宋体" w:eastAsia="宋体" w:hAnsi="宋体" w:cs="宋体" w:hint="eastAsia"/>
          <w:kern w:val="0"/>
          <w:sz w:val="24"/>
          <w:szCs w:val="24"/>
        </w:rPr>
        <w:t>(University/Grad)-全美前五</w:t>
      </w:r>
    </w:p>
    <w:p w:rsidR="00C708AA" w:rsidRPr="00130EF4" w:rsidRDefault="00937E9A" w:rsidP="00130EF4">
      <w:pPr>
        <w:widowControl/>
        <w:numPr>
          <w:ilvl w:val="0"/>
          <w:numId w:val="2"/>
        </w:numPr>
        <w:shd w:val="clear" w:color="auto" w:fill="FFFFFF"/>
        <w:tabs>
          <w:tab w:val="clear" w:pos="720"/>
        </w:tabs>
        <w:spacing w:line="400" w:lineRule="exact"/>
        <w:ind w:left="410" w:hangingChars="170" w:hanging="410"/>
        <w:jc w:val="left"/>
        <w:rPr>
          <w:rFonts w:ascii="宋体" w:eastAsia="宋体" w:hAnsi="宋体" w:cs="宋体"/>
          <w:sz w:val="24"/>
          <w:szCs w:val="24"/>
        </w:rPr>
      </w:pPr>
      <w:r w:rsidRPr="00130EF4">
        <w:rPr>
          <w:rFonts w:ascii="宋体" w:eastAsia="宋体" w:hAnsi="宋体" w:cs="宋体" w:hint="eastAsia"/>
          <w:b/>
          <w:kern w:val="0"/>
          <w:sz w:val="24"/>
          <w:szCs w:val="24"/>
        </w:rPr>
        <w:t>Language &amp; Culture 语言与文化</w:t>
      </w:r>
      <w:r w:rsidRPr="00130EF4">
        <w:rPr>
          <w:rFonts w:ascii="宋体" w:eastAsia="宋体" w:hAnsi="宋体" w:cs="宋体" w:hint="eastAsia"/>
          <w:color w:val="000000"/>
          <w:sz w:val="24"/>
          <w:szCs w:val="24"/>
        </w:rPr>
        <w:t xml:space="preserve"> </w:t>
      </w:r>
      <w:r w:rsidRPr="00130EF4">
        <w:rPr>
          <w:rFonts w:ascii="宋体" w:eastAsia="宋体" w:hAnsi="宋体" w:cs="宋体" w:hint="eastAsia"/>
          <w:kern w:val="0"/>
          <w:sz w:val="24"/>
          <w:szCs w:val="24"/>
        </w:rPr>
        <w:t>(University/Grad)-全美前五</w:t>
      </w:r>
    </w:p>
    <w:p w:rsidR="00130EF4" w:rsidRDefault="00130EF4" w:rsidP="00130EF4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/>
          <w:sz w:val="24"/>
          <w:szCs w:val="24"/>
        </w:rPr>
      </w:pPr>
    </w:p>
    <w:p w:rsidR="00130EF4" w:rsidRDefault="00130EF4" w:rsidP="00130EF4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/>
          <w:sz w:val="24"/>
          <w:szCs w:val="24"/>
        </w:rPr>
      </w:pPr>
    </w:p>
    <w:p w:rsidR="00130EF4" w:rsidRPr="00130EF4" w:rsidRDefault="00130EF4" w:rsidP="00130EF4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/>
          <w:sz w:val="24"/>
          <w:szCs w:val="24"/>
        </w:rPr>
      </w:pPr>
    </w:p>
    <w:tbl>
      <w:tblPr>
        <w:tblW w:w="96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3"/>
        <w:gridCol w:w="6"/>
        <w:gridCol w:w="7320"/>
      </w:tblGrid>
      <w:tr w:rsidR="00C708AA">
        <w:trPr>
          <w:trHeight w:val="756"/>
        </w:trPr>
        <w:tc>
          <w:tcPr>
            <w:tcW w:w="2359" w:type="dxa"/>
            <w:gridSpan w:val="2"/>
          </w:tcPr>
          <w:p w:rsidR="00C708AA" w:rsidRDefault="00937E9A" w:rsidP="00130EF4">
            <w:pPr>
              <w:spacing w:beforeLines="50" w:before="156" w:afterLines="50" w:after="156" w:line="400" w:lineRule="exac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lastRenderedPageBreak/>
              <w:t>课程专业方向</w:t>
            </w:r>
          </w:p>
        </w:tc>
        <w:tc>
          <w:tcPr>
            <w:tcW w:w="7320" w:type="dxa"/>
          </w:tcPr>
          <w:p w:rsidR="00C708AA" w:rsidRDefault="00937E9A" w:rsidP="00130EF4">
            <w:pPr>
              <w:spacing w:beforeLines="50" w:before="156" w:afterLines="50" w:after="156" w:line="400" w:lineRule="exact"/>
              <w:ind w:rightChars="100" w:right="21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课程安排</w:t>
            </w:r>
          </w:p>
        </w:tc>
      </w:tr>
      <w:tr w:rsidR="00C708AA">
        <w:trPr>
          <w:trHeight w:val="1054"/>
        </w:trPr>
        <w:tc>
          <w:tcPr>
            <w:tcW w:w="2359" w:type="dxa"/>
            <w:gridSpan w:val="2"/>
          </w:tcPr>
          <w:p w:rsidR="00C708AA" w:rsidRDefault="00937E9A" w:rsidP="00130EF4">
            <w:pPr>
              <w:spacing w:line="400" w:lineRule="exact"/>
              <w:ind w:rightChars="-75" w:right="-158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会计</w:t>
            </w:r>
          </w:p>
          <w:p w:rsidR="00C708AA" w:rsidRDefault="00937E9A" w:rsidP="00130EF4">
            <w:pPr>
              <w:spacing w:line="400" w:lineRule="exact"/>
              <w:ind w:rightChars="-75" w:right="-158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Accounting</w:t>
            </w:r>
          </w:p>
        </w:tc>
        <w:tc>
          <w:tcPr>
            <w:tcW w:w="7320" w:type="dxa"/>
          </w:tcPr>
          <w:p w:rsidR="00C708AA" w:rsidRDefault="00937E9A" w:rsidP="00130EF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hAnsi="Times New Roman" w:cs="宋体"/>
                <w:color w:val="2E3033"/>
                <w:kern w:val="0"/>
              </w:rPr>
            </w:pPr>
            <w:r>
              <w:rPr>
                <w:rFonts w:ascii="Times New Roman" w:eastAsia="MS Mincho" w:hAnsi="MS Mincho" w:cs="MS Mincho" w:hint="eastAsia"/>
                <w:color w:val="2E3033"/>
                <w:kern w:val="0"/>
              </w:rPr>
              <w:t>❖</w:t>
            </w:r>
            <w:r>
              <w:rPr>
                <w:rFonts w:ascii="Times New Roman" w:hAnsi="Times New Roman" w:cs="宋体" w:hint="eastAsia"/>
                <w:color w:val="2E3033"/>
                <w:kern w:val="0"/>
              </w:rPr>
              <w:t>会计周期</w:t>
            </w:r>
            <w:r>
              <w:rPr>
                <w:rFonts w:ascii="Times New Roman" w:hAnsi="Times New Roman" w:cs="TimesNewRomanPSMT" w:hint="eastAsia"/>
                <w:color w:val="2E3033"/>
                <w:kern w:val="0"/>
              </w:rPr>
              <w:t>、</w:t>
            </w:r>
            <w:r>
              <w:rPr>
                <w:rFonts w:ascii="Times New Roman" w:hAnsi="Times New Roman" w:cs="宋体" w:hint="eastAsia"/>
                <w:color w:val="2E3033"/>
                <w:kern w:val="0"/>
              </w:rPr>
              <w:t>日记账分录及结账过程</w:t>
            </w:r>
            <w:r>
              <w:rPr>
                <w:rFonts w:ascii="Times New Roman" w:hAnsi="Times New Roman" w:cs="TimesNewRomanPSMT" w:hint="eastAsia"/>
                <w:color w:val="2E3033"/>
                <w:kern w:val="0"/>
              </w:rPr>
              <w:t>、</w:t>
            </w:r>
            <w:r>
              <w:rPr>
                <w:rFonts w:ascii="Times New Roman" w:hAnsi="Times New Roman" w:cs="宋体" w:hint="eastAsia"/>
                <w:color w:val="2E3033"/>
                <w:kern w:val="0"/>
              </w:rPr>
              <w:t>分类资产负债表及相关披露</w:t>
            </w:r>
            <w:r>
              <w:rPr>
                <w:rFonts w:ascii="Times New Roman" w:hAnsi="Times New Roman" w:cs="TimesNewRomanPSMT" w:hint="eastAsia"/>
                <w:color w:val="2E3033"/>
                <w:kern w:val="0"/>
              </w:rPr>
              <w:t>、</w:t>
            </w:r>
            <w:r>
              <w:rPr>
                <w:rFonts w:ascii="Times New Roman" w:hAnsi="Times New Roman" w:cs="宋体" w:hint="eastAsia"/>
                <w:color w:val="2E3033"/>
                <w:kern w:val="0"/>
              </w:rPr>
              <w:t>内部控制、</w:t>
            </w:r>
          </w:p>
          <w:p w:rsidR="00C708AA" w:rsidRDefault="00937E9A" w:rsidP="00130EF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hAnsi="Times New Roman" w:cs="宋体"/>
                <w:color w:val="2E3033"/>
                <w:kern w:val="0"/>
              </w:rPr>
            </w:pPr>
            <w:r>
              <w:rPr>
                <w:rFonts w:ascii="Times New Roman" w:hAnsi="Times New Roman" w:cs="宋体" w:hint="eastAsia"/>
                <w:color w:val="2E3033"/>
                <w:kern w:val="0"/>
              </w:rPr>
              <w:t>资产挪用</w:t>
            </w:r>
          </w:p>
          <w:p w:rsidR="00C708AA" w:rsidRDefault="00937E9A" w:rsidP="00130EF4">
            <w:pPr>
              <w:spacing w:line="400" w:lineRule="exact"/>
              <w:ind w:rightChars="-75" w:right="-158"/>
              <w:rPr>
                <w:rFonts w:ascii="Times New Roman" w:hAnsi="Times New Roman" w:cs="Arial"/>
                <w:color w:val="2E3033"/>
                <w:shd w:val="clear" w:color="auto" w:fill="FFFFFF"/>
              </w:rPr>
            </w:pPr>
            <w:r>
              <w:rPr>
                <w:rFonts w:ascii="Times New Roman" w:eastAsia="MS Mincho" w:hAnsi="MS Mincho" w:cs="MS Mincho" w:hint="eastAsia"/>
                <w:color w:val="2E3033"/>
                <w:kern w:val="0"/>
              </w:rPr>
              <w:t>❖</w:t>
            </w:r>
            <w:r>
              <w:rPr>
                <w:rFonts w:ascii="Times New Roman" w:hAnsi="Times New Roman" w:cs="宋体" w:hint="eastAsia"/>
                <w:color w:val="2E3033"/>
                <w:kern w:val="0"/>
              </w:rPr>
              <w:t>商务英语口语</w:t>
            </w:r>
            <w:r>
              <w:rPr>
                <w:rFonts w:ascii="Times New Roman" w:hAnsi="Times New Roman" w:cs="TimesNewRomanPSMT" w:hint="eastAsia"/>
                <w:color w:val="2E3033"/>
                <w:kern w:val="0"/>
              </w:rPr>
              <w:t>、</w:t>
            </w:r>
            <w:r>
              <w:rPr>
                <w:rFonts w:ascii="Times New Roman" w:hAnsi="Times New Roman" w:cs="宋体" w:hint="eastAsia"/>
                <w:color w:val="2E3033"/>
                <w:kern w:val="0"/>
              </w:rPr>
              <w:t>商务英语写作</w:t>
            </w:r>
          </w:p>
        </w:tc>
      </w:tr>
      <w:tr w:rsidR="00C708AA">
        <w:trPr>
          <w:trHeight w:val="1054"/>
        </w:trPr>
        <w:tc>
          <w:tcPr>
            <w:tcW w:w="2359" w:type="dxa"/>
            <w:gridSpan w:val="2"/>
          </w:tcPr>
          <w:p w:rsidR="00C708AA" w:rsidRDefault="00937E9A" w:rsidP="00130EF4">
            <w:pPr>
              <w:spacing w:line="400" w:lineRule="exact"/>
              <w:ind w:rightChars="-75" w:right="-158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工程</w:t>
            </w:r>
          </w:p>
          <w:p w:rsidR="00C708AA" w:rsidRDefault="00937E9A" w:rsidP="00130EF4">
            <w:pPr>
              <w:spacing w:line="400" w:lineRule="exact"/>
              <w:ind w:rightChars="-75" w:right="-158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Engineering</w:t>
            </w:r>
          </w:p>
        </w:tc>
        <w:tc>
          <w:tcPr>
            <w:tcW w:w="7320" w:type="dxa"/>
          </w:tcPr>
          <w:p w:rsidR="00C708AA" w:rsidRDefault="00937E9A" w:rsidP="00130EF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hAnsi="Times New Roman" w:cs="宋体"/>
                <w:color w:val="2E3033"/>
                <w:kern w:val="0"/>
              </w:rPr>
            </w:pPr>
            <w:r>
              <w:rPr>
                <w:rFonts w:ascii="Times New Roman" w:eastAsia="MS Mincho" w:hAnsi="MS Mincho" w:cs="MS Mincho" w:hint="eastAsia"/>
                <w:color w:val="2E3033"/>
                <w:kern w:val="0"/>
              </w:rPr>
              <w:t>❖</w:t>
            </w:r>
            <w:r>
              <w:rPr>
                <w:rFonts w:ascii="Times New Roman" w:hAnsi="Times New Roman" w:cs="宋体" w:hint="eastAsia"/>
                <w:color w:val="2E3033"/>
                <w:kern w:val="0"/>
              </w:rPr>
              <w:t>结构分析与静力平衡问题</w:t>
            </w:r>
            <w:r>
              <w:rPr>
                <w:rFonts w:ascii="Times New Roman" w:hAnsi="Times New Roman" w:cs="TimesNewRomanPSMT" w:hint="eastAsia"/>
                <w:color w:val="2E3033"/>
                <w:kern w:val="0"/>
              </w:rPr>
              <w:t>、</w:t>
            </w:r>
            <w:r>
              <w:rPr>
                <w:rFonts w:ascii="Times New Roman" w:hAnsi="Times New Roman" w:cs="宋体" w:hint="eastAsia"/>
                <w:color w:val="2E3033"/>
                <w:kern w:val="0"/>
              </w:rPr>
              <w:t>应用动力学原理</w:t>
            </w:r>
            <w:r>
              <w:rPr>
                <w:rFonts w:ascii="Times New Roman" w:hAnsi="Times New Roman" w:cs="TimesNewRomanPSMT" w:hint="eastAsia"/>
                <w:color w:val="2E3033"/>
                <w:kern w:val="0"/>
              </w:rPr>
              <w:t>、</w:t>
            </w:r>
            <w:r>
              <w:rPr>
                <w:rFonts w:ascii="Times New Roman" w:hAnsi="Times New Roman" w:cs="宋体" w:hint="eastAsia"/>
                <w:color w:val="2E3033"/>
                <w:kern w:val="0"/>
              </w:rPr>
              <w:t>通过分析简单电路确定其特</w:t>
            </w:r>
          </w:p>
          <w:p w:rsidR="00C708AA" w:rsidRDefault="00937E9A" w:rsidP="00130EF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hAnsi="Times New Roman" w:cs="宋体"/>
                <w:color w:val="2E3033"/>
                <w:kern w:val="0"/>
              </w:rPr>
            </w:pPr>
            <w:r>
              <w:rPr>
                <w:rFonts w:ascii="Times New Roman" w:hAnsi="Times New Roman" w:cs="宋体" w:hint="eastAsia"/>
                <w:color w:val="2E3033"/>
                <w:kern w:val="0"/>
              </w:rPr>
              <w:t>性</w:t>
            </w:r>
            <w:r>
              <w:rPr>
                <w:rFonts w:ascii="Times New Roman" w:hAnsi="Times New Roman" w:cs="TimesNewRomanPSMT" w:hint="eastAsia"/>
                <w:color w:val="2E3033"/>
                <w:kern w:val="0"/>
              </w:rPr>
              <w:t>、</w:t>
            </w:r>
            <w:r>
              <w:rPr>
                <w:rFonts w:ascii="Times New Roman" w:hAnsi="Times New Roman" w:cs="宋体" w:hint="eastAsia"/>
                <w:color w:val="2E3033"/>
                <w:kern w:val="0"/>
              </w:rPr>
              <w:t>测试物理概念的简单实验</w:t>
            </w:r>
          </w:p>
          <w:p w:rsidR="00C708AA" w:rsidRDefault="00937E9A" w:rsidP="00130EF4">
            <w:pPr>
              <w:spacing w:line="400" w:lineRule="exact"/>
              <w:ind w:rightChars="-75" w:right="-158"/>
              <w:rPr>
                <w:rFonts w:ascii="Times New Roman" w:hAnsi="Times New Roman" w:cs="Arial"/>
                <w:color w:val="2E3033"/>
                <w:shd w:val="clear" w:color="auto" w:fill="FFFFFF"/>
              </w:rPr>
            </w:pPr>
            <w:r>
              <w:rPr>
                <w:rFonts w:ascii="Times New Roman" w:eastAsia="MS Mincho" w:hAnsi="MS Mincho" w:cs="MS Mincho" w:hint="eastAsia"/>
                <w:color w:val="2E3033"/>
                <w:kern w:val="0"/>
              </w:rPr>
              <w:t>❖</w:t>
            </w:r>
            <w:r>
              <w:rPr>
                <w:rFonts w:ascii="Times New Roman" w:hAnsi="Times New Roman" w:cs="宋体" w:hint="eastAsia"/>
                <w:color w:val="2E3033"/>
                <w:kern w:val="0"/>
              </w:rPr>
              <w:t>科技英语口语</w:t>
            </w:r>
            <w:r>
              <w:rPr>
                <w:rFonts w:ascii="Times New Roman" w:hAnsi="Times New Roman" w:cs="TimesNewRomanPSMT" w:hint="eastAsia"/>
                <w:color w:val="2E3033"/>
                <w:kern w:val="0"/>
              </w:rPr>
              <w:t>、</w:t>
            </w:r>
            <w:r>
              <w:rPr>
                <w:rFonts w:ascii="Times New Roman" w:hAnsi="Times New Roman" w:cs="宋体" w:hint="eastAsia"/>
                <w:color w:val="2E3033"/>
                <w:kern w:val="0"/>
              </w:rPr>
              <w:t>科技英语写作</w:t>
            </w:r>
          </w:p>
        </w:tc>
      </w:tr>
      <w:tr w:rsidR="00C708AA">
        <w:trPr>
          <w:trHeight w:val="1362"/>
        </w:trPr>
        <w:tc>
          <w:tcPr>
            <w:tcW w:w="2353" w:type="dxa"/>
          </w:tcPr>
          <w:p w:rsidR="00C708AA" w:rsidRDefault="00937E9A" w:rsidP="00130EF4">
            <w:pPr>
              <w:spacing w:line="400" w:lineRule="exact"/>
              <w:ind w:rightChars="-75" w:right="-158"/>
              <w:rPr>
                <w:rFonts w:ascii="Times New Roman" w:hAnsi="Times New Roman" w:cs="仿宋"/>
                <w:b/>
                <w:bCs/>
                <w:u w:val="single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语言与文化</w:t>
            </w:r>
          </w:p>
          <w:p w:rsidR="00C708AA" w:rsidRDefault="00937E9A" w:rsidP="00130EF4">
            <w:pPr>
              <w:pStyle w:val="a3"/>
              <w:spacing w:line="400" w:lineRule="exact"/>
              <w:rPr>
                <w:rFonts w:ascii="Times New Roman" w:eastAsia="宋体" w:hAnsi="Times New Roman" w:cs="仿宋"/>
                <w:b/>
                <w:bCs/>
                <w:u w:val="single"/>
              </w:rPr>
            </w:pPr>
            <w:r>
              <w:rPr>
                <w:rFonts w:ascii="Times New Roman" w:eastAsia="宋体" w:hAnsi="Times New Roman"/>
                <w:b/>
              </w:rPr>
              <w:t>Language &amp; Culture</w:t>
            </w:r>
          </w:p>
        </w:tc>
        <w:tc>
          <w:tcPr>
            <w:tcW w:w="7326" w:type="dxa"/>
            <w:gridSpan w:val="2"/>
          </w:tcPr>
          <w:p w:rsidR="00C708AA" w:rsidRDefault="00937E9A" w:rsidP="00130EF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hAnsi="Times New Roman" w:cs="宋体"/>
                <w:color w:val="2E3033"/>
                <w:kern w:val="0"/>
              </w:rPr>
            </w:pPr>
            <w:r>
              <w:rPr>
                <w:rFonts w:ascii="Times New Roman" w:eastAsia="MS Mincho" w:hAnsi="MS Mincho" w:cs="MS Mincho" w:hint="eastAsia"/>
                <w:color w:val="2E3033"/>
                <w:kern w:val="0"/>
              </w:rPr>
              <w:t>❖</w:t>
            </w:r>
            <w:r>
              <w:rPr>
                <w:rFonts w:ascii="Times New Roman" w:hAnsi="Times New Roman" w:cs="宋体" w:hint="eastAsia"/>
                <w:color w:val="2E3033"/>
                <w:kern w:val="0"/>
              </w:rPr>
              <w:t>分析文学文本，时事新闻，美国历史和政治文献</w:t>
            </w:r>
            <w:r>
              <w:rPr>
                <w:rFonts w:ascii="Times New Roman" w:hAnsi="Times New Roman" w:cs="TimesNewRomanPSMT" w:hint="eastAsia"/>
                <w:color w:val="2E3033"/>
                <w:kern w:val="0"/>
              </w:rPr>
              <w:t>、</w:t>
            </w:r>
            <w:r>
              <w:rPr>
                <w:rFonts w:ascii="Times New Roman" w:hAnsi="Times New Roman" w:cs="宋体" w:hint="eastAsia"/>
                <w:color w:val="2E3033"/>
                <w:kern w:val="0"/>
              </w:rPr>
              <w:t>练习与文本相关的文化</w:t>
            </w:r>
          </w:p>
          <w:p w:rsidR="00C708AA" w:rsidRDefault="00937E9A" w:rsidP="00130EF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hAnsi="Times New Roman" w:cs="宋体"/>
                <w:color w:val="2E3033"/>
                <w:kern w:val="0"/>
              </w:rPr>
            </w:pPr>
            <w:r>
              <w:rPr>
                <w:rFonts w:ascii="Times New Roman" w:hAnsi="Times New Roman" w:cs="宋体" w:hint="eastAsia"/>
                <w:color w:val="2E3033"/>
                <w:kern w:val="0"/>
              </w:rPr>
              <w:t>解释，意义和观点</w:t>
            </w:r>
            <w:r>
              <w:rPr>
                <w:rFonts w:ascii="Times New Roman" w:hAnsi="Times New Roman" w:cs="TimesNewRomanPSMT" w:hint="eastAsia"/>
                <w:color w:val="2E3033"/>
                <w:kern w:val="0"/>
              </w:rPr>
              <w:t>、</w:t>
            </w:r>
            <w:r>
              <w:rPr>
                <w:rFonts w:ascii="Times New Roman" w:hAnsi="Times New Roman" w:cs="宋体" w:hint="eastAsia"/>
                <w:color w:val="2E3033"/>
                <w:kern w:val="0"/>
              </w:rPr>
              <w:t>在对话中使用惯用的和比喻语言</w:t>
            </w:r>
            <w:r>
              <w:rPr>
                <w:rFonts w:ascii="Times New Roman" w:hAnsi="Times New Roman" w:cs="TimesNewRomanPSMT" w:hint="eastAsia"/>
                <w:color w:val="2E3033"/>
                <w:kern w:val="0"/>
              </w:rPr>
              <w:t>、</w:t>
            </w:r>
            <w:r>
              <w:rPr>
                <w:rFonts w:ascii="Times New Roman" w:hAnsi="Times New Roman" w:cs="宋体" w:hint="eastAsia"/>
                <w:color w:val="2E3033"/>
                <w:kern w:val="0"/>
              </w:rPr>
              <w:t>对话模式，面部表情</w:t>
            </w:r>
          </w:p>
          <w:p w:rsidR="00C708AA" w:rsidRDefault="00937E9A" w:rsidP="00130EF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hAnsi="Times New Roman" w:cs="宋体"/>
                <w:color w:val="2E3033"/>
                <w:kern w:val="0"/>
              </w:rPr>
            </w:pPr>
            <w:r>
              <w:rPr>
                <w:rFonts w:ascii="Times New Roman" w:hAnsi="Times New Roman" w:cs="宋体" w:hint="eastAsia"/>
                <w:color w:val="2E3033"/>
                <w:kern w:val="0"/>
              </w:rPr>
              <w:t>和肢体语言</w:t>
            </w:r>
            <w:r>
              <w:rPr>
                <w:rFonts w:ascii="Times New Roman" w:hAnsi="Times New Roman" w:cs="TimesNewRomanPSMT" w:hint="eastAsia"/>
                <w:color w:val="2E3033"/>
                <w:kern w:val="0"/>
              </w:rPr>
              <w:t>、</w:t>
            </w:r>
            <w:r>
              <w:rPr>
                <w:rFonts w:ascii="Times New Roman" w:hAnsi="Times New Roman" w:cs="宋体" w:hint="eastAsia"/>
                <w:color w:val="2E3033"/>
                <w:kern w:val="0"/>
              </w:rPr>
              <w:t>美国风俗习惯与本土文化模式的跨文化比较</w:t>
            </w:r>
          </w:p>
          <w:p w:rsidR="00C708AA" w:rsidRDefault="00937E9A" w:rsidP="00130EF4">
            <w:pPr>
              <w:pStyle w:val="a3"/>
              <w:spacing w:line="400" w:lineRule="exact"/>
              <w:rPr>
                <w:rFonts w:ascii="Times New Roman" w:eastAsia="宋体" w:hAnsi="Times New Roman" w:cs="仿宋"/>
                <w:b/>
                <w:bCs/>
                <w:u w:val="single"/>
              </w:rPr>
            </w:pPr>
            <w:r>
              <w:rPr>
                <w:rFonts w:ascii="Times New Roman" w:eastAsia="MS Mincho" w:hAnsi="MS Mincho" w:cs="MS Mincho" w:hint="eastAsia"/>
                <w:color w:val="2E3033"/>
              </w:rPr>
              <w:t>❖</w:t>
            </w:r>
            <w:r>
              <w:rPr>
                <w:rFonts w:ascii="Times New Roman" w:eastAsia="宋体" w:hAnsi="Times New Roman" w:cs="宋体" w:hint="eastAsia"/>
                <w:color w:val="2E3033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2E3033"/>
              </w:rPr>
              <w:t>英文听说、阅读讨论</w:t>
            </w:r>
          </w:p>
        </w:tc>
      </w:tr>
    </w:tbl>
    <w:p w:rsidR="00C708AA" w:rsidRDefault="00937E9A" w:rsidP="00130EF4">
      <w:pPr>
        <w:spacing w:line="400" w:lineRule="exact"/>
        <w:rPr>
          <w:rFonts w:ascii="宋体" w:eastAsia="宋体" w:hAnsi="宋体" w:cs="宋体"/>
          <w:b/>
          <w:bCs/>
          <w:sz w:val="24"/>
          <w:szCs w:val="24"/>
          <w:u w:val="single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>课程特色</w:t>
      </w:r>
    </w:p>
    <w:p w:rsidR="00C708AA" w:rsidRDefault="00937E9A" w:rsidP="00130EF4">
      <w:pPr>
        <w:spacing w:line="4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【顶尖专业】提供全美顶尖专业课程：会计、工程、语言与文化</w:t>
      </w:r>
      <w:r>
        <w:rPr>
          <w:rFonts w:ascii="宋体" w:eastAsia="宋体" w:hAnsi="宋体" w:cs="宋体" w:hint="eastAsia"/>
          <w:sz w:val="24"/>
          <w:szCs w:val="24"/>
        </w:rPr>
        <w:tab/>
      </w:r>
    </w:p>
    <w:p w:rsidR="00C708AA" w:rsidRDefault="00937E9A" w:rsidP="00130EF4">
      <w:pPr>
        <w:spacing w:line="4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【在线授课】在线互动课程，时间地点灵活</w:t>
      </w:r>
    </w:p>
    <w:p w:rsidR="00C708AA" w:rsidRDefault="00937E9A" w:rsidP="00130EF4">
      <w:pPr>
        <w:spacing w:line="4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【质量保证】课程质量与线下教室一致，由知名教授在线授课，获得动手、实践经验和体验美国式名校教育</w:t>
      </w:r>
    </w:p>
    <w:p w:rsidR="00C708AA" w:rsidRDefault="00937E9A" w:rsidP="00130EF4">
      <w:pPr>
        <w:spacing w:line="4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【世界名校】2022年世界排名：QS 67; US NEWS 38, Public No.14</w:t>
      </w:r>
    </w:p>
    <w:p w:rsidR="00C708AA" w:rsidRDefault="00937E9A" w:rsidP="00130EF4">
      <w:pPr>
        <w:spacing w:line="4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【共享设施】学生获得的Student ID可以免费获得线上图书馆的使用权限</w:t>
      </w:r>
    </w:p>
    <w:p w:rsidR="00C708AA" w:rsidRDefault="00937E9A" w:rsidP="00130EF4">
      <w:pPr>
        <w:spacing w:line="4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【项目权威】合格完成项目的学生，获得UT颁发的正式结业证书和课程成绩单</w:t>
      </w:r>
    </w:p>
    <w:p w:rsidR="00C708AA" w:rsidRDefault="00C708AA" w:rsidP="00130EF4">
      <w:pPr>
        <w:spacing w:line="400" w:lineRule="exact"/>
        <w:rPr>
          <w:rFonts w:ascii="宋体" w:eastAsia="宋体" w:hAnsi="宋体" w:cs="宋体"/>
          <w:sz w:val="24"/>
          <w:szCs w:val="24"/>
        </w:rPr>
      </w:pPr>
    </w:p>
    <w:p w:rsidR="00C708AA" w:rsidRDefault="00937E9A" w:rsidP="00130EF4">
      <w:pPr>
        <w:spacing w:line="400" w:lineRule="exac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hint="eastAsia"/>
          <w:b/>
          <w:color w:val="000000"/>
          <w:sz w:val="24"/>
          <w:szCs w:val="24"/>
          <w:u w:val="single"/>
        </w:rPr>
        <w:t>课程时间和安排示例</w:t>
      </w:r>
      <w:r>
        <w:rPr>
          <w:rFonts w:ascii="Times New Roman" w:hAnsi="Times New Roman" w:hint="eastAsia"/>
          <w:b/>
          <w:color w:val="000000"/>
          <w:sz w:val="24"/>
          <w:szCs w:val="24"/>
        </w:rPr>
        <w:t xml:space="preserve">   2022</w:t>
      </w:r>
      <w:r>
        <w:rPr>
          <w:rFonts w:ascii="Times New Roman" w:hAnsi="Times New Roman" w:hint="eastAsia"/>
          <w:b/>
          <w:color w:val="000000"/>
          <w:sz w:val="24"/>
          <w:szCs w:val="24"/>
        </w:rPr>
        <w:t>年</w:t>
      </w:r>
      <w:r>
        <w:rPr>
          <w:rFonts w:ascii="Times New Roman" w:hAnsi="Times New Roman" w:hint="eastAsia"/>
          <w:b/>
          <w:color w:val="000000"/>
          <w:sz w:val="24"/>
          <w:szCs w:val="24"/>
        </w:rPr>
        <w:t>2</w:t>
      </w:r>
      <w:r>
        <w:rPr>
          <w:rFonts w:ascii="Times New Roman" w:hAnsi="Times New Roman" w:hint="eastAsia"/>
          <w:b/>
          <w:color w:val="000000"/>
          <w:sz w:val="24"/>
          <w:szCs w:val="24"/>
        </w:rPr>
        <w:t>月</w:t>
      </w:r>
      <w:r>
        <w:rPr>
          <w:rFonts w:ascii="Times New Roman" w:hAnsi="Times New Roman" w:hint="eastAsia"/>
          <w:b/>
          <w:color w:val="000000"/>
          <w:sz w:val="24"/>
          <w:szCs w:val="24"/>
        </w:rPr>
        <w:t>7</w:t>
      </w:r>
      <w:r>
        <w:rPr>
          <w:rFonts w:ascii="Times New Roman" w:hAnsi="Times New Roman" w:hint="eastAsia"/>
          <w:b/>
          <w:color w:val="000000"/>
          <w:sz w:val="24"/>
          <w:szCs w:val="24"/>
        </w:rPr>
        <w:t>日</w:t>
      </w:r>
      <w:r>
        <w:rPr>
          <w:rFonts w:ascii="Times New Roman" w:hAnsi="Times New Roman"/>
          <w:b/>
          <w:color w:val="000000"/>
          <w:sz w:val="24"/>
          <w:szCs w:val="24"/>
        </w:rPr>
        <w:t>—</w:t>
      </w:r>
      <w:r>
        <w:rPr>
          <w:rFonts w:ascii="Times New Roman" w:hAnsi="Times New Roman" w:hint="eastAsia"/>
          <w:b/>
          <w:color w:val="000000"/>
          <w:sz w:val="24"/>
          <w:szCs w:val="24"/>
        </w:rPr>
        <w:t>2</w:t>
      </w:r>
      <w:r>
        <w:rPr>
          <w:rFonts w:ascii="Times New Roman" w:hAnsi="Times New Roman" w:hint="eastAsia"/>
          <w:b/>
          <w:color w:val="000000"/>
          <w:sz w:val="24"/>
          <w:szCs w:val="24"/>
        </w:rPr>
        <w:t>月</w:t>
      </w:r>
      <w:r>
        <w:rPr>
          <w:rFonts w:ascii="Times New Roman" w:hAnsi="Times New Roman" w:hint="eastAsia"/>
          <w:b/>
          <w:color w:val="000000"/>
          <w:sz w:val="24"/>
          <w:szCs w:val="24"/>
        </w:rPr>
        <w:t>18</w:t>
      </w:r>
      <w:r>
        <w:rPr>
          <w:rFonts w:ascii="Times New Roman" w:hAnsi="Times New Roman" w:hint="eastAsia"/>
          <w:b/>
          <w:color w:val="000000"/>
          <w:sz w:val="24"/>
          <w:szCs w:val="24"/>
        </w:rPr>
        <w:t>日</w:t>
      </w:r>
      <w:r>
        <w:rPr>
          <w:rFonts w:ascii="Times New Roman" w:hAnsi="Times New Roman" w:hint="eastAsia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color w:val="000000"/>
          <w:sz w:val="24"/>
          <w:szCs w:val="24"/>
        </w:rPr>
        <w:t>（</w:t>
      </w:r>
      <w:r>
        <w:rPr>
          <w:rFonts w:ascii="Times New Roman" w:hAnsi="Times New Roman" w:hint="eastAsia"/>
          <w:b/>
          <w:color w:val="000000"/>
          <w:sz w:val="24"/>
          <w:szCs w:val="24"/>
        </w:rPr>
        <w:t>2</w:t>
      </w:r>
      <w:r>
        <w:rPr>
          <w:rFonts w:ascii="Times New Roman" w:hAnsi="Times New Roman" w:hint="eastAsia"/>
          <w:b/>
          <w:color w:val="000000"/>
          <w:sz w:val="24"/>
          <w:szCs w:val="24"/>
        </w:rPr>
        <w:t>周）</w:t>
      </w:r>
    </w:p>
    <w:tbl>
      <w:tblPr>
        <w:tblW w:w="9197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426"/>
        <w:gridCol w:w="1504"/>
        <w:gridCol w:w="1584"/>
        <w:gridCol w:w="1545"/>
        <w:gridCol w:w="1558"/>
      </w:tblGrid>
      <w:tr w:rsidR="00C708AA">
        <w:trPr>
          <w:trHeight w:hRule="exact" w:val="41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8AA" w:rsidRDefault="00937E9A" w:rsidP="00130EF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  <w:r>
              <w:rPr>
                <w:rFonts w:ascii="Times New Roman" w:eastAsia="宋体" w:hAnsi="Times New Roman" w:cs="Times New Roman"/>
                <w:szCs w:val="21"/>
              </w:rPr>
              <w:t>小时制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8AA" w:rsidRDefault="00937E9A" w:rsidP="00130EF4">
            <w:pPr>
              <w:spacing w:before="86" w:line="400" w:lineRule="exact"/>
              <w:ind w:left="313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星期一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8AA" w:rsidRDefault="00937E9A" w:rsidP="00130EF4">
            <w:pPr>
              <w:spacing w:before="86" w:line="400" w:lineRule="exact"/>
              <w:ind w:left="313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星期二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8AA" w:rsidRDefault="00937E9A" w:rsidP="00130EF4">
            <w:pPr>
              <w:spacing w:before="86" w:line="400" w:lineRule="exact"/>
              <w:ind w:left="17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星期三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8AA" w:rsidRDefault="00937E9A" w:rsidP="00130EF4">
            <w:pPr>
              <w:spacing w:before="86" w:line="400" w:lineRule="exact"/>
              <w:ind w:left="28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星期四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8AA" w:rsidRDefault="00937E9A" w:rsidP="00130EF4">
            <w:pPr>
              <w:spacing w:before="86" w:line="400" w:lineRule="exact"/>
              <w:ind w:left="418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星期五</w:t>
            </w:r>
          </w:p>
        </w:tc>
      </w:tr>
      <w:tr w:rsidR="00C708AA">
        <w:trPr>
          <w:trHeight w:hRule="exact" w:val="787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8AA" w:rsidRDefault="00937E9A" w:rsidP="00130EF4">
            <w:pPr>
              <w:spacing w:before="104" w:line="400" w:lineRule="exact"/>
              <w:ind w:firstLineChars="200" w:firstLine="422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>:00–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10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:20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8AA" w:rsidRDefault="00937E9A" w:rsidP="003C322A">
            <w:pPr>
              <w:spacing w:before="104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Oral Communication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8AA" w:rsidRDefault="00937E9A" w:rsidP="003C322A">
            <w:pPr>
              <w:spacing w:before="104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Oral Communication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8AA" w:rsidRDefault="00937E9A" w:rsidP="003C322A">
            <w:pPr>
              <w:spacing w:before="104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Oral Communication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8AA" w:rsidRDefault="00937E9A" w:rsidP="003C322A">
            <w:pPr>
              <w:spacing w:before="104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Oral Communication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8AA" w:rsidRDefault="00937E9A" w:rsidP="003C322A">
            <w:pPr>
              <w:spacing w:before="104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Oral Communication</w:t>
            </w:r>
          </w:p>
        </w:tc>
      </w:tr>
      <w:tr w:rsidR="00C708AA">
        <w:trPr>
          <w:trHeight w:hRule="exact" w:val="419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8AA" w:rsidRDefault="00937E9A" w:rsidP="00130EF4">
            <w:pPr>
              <w:spacing w:before="104" w:line="400" w:lineRule="exact"/>
              <w:ind w:firstLineChars="200" w:firstLine="422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10:20-10:40</w:t>
            </w:r>
          </w:p>
        </w:tc>
        <w:tc>
          <w:tcPr>
            <w:tcW w:w="76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8AA" w:rsidRDefault="00937E9A" w:rsidP="003C322A">
            <w:pPr>
              <w:spacing w:before="104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Break</w:t>
            </w:r>
          </w:p>
        </w:tc>
      </w:tr>
      <w:tr w:rsidR="00C708AA">
        <w:trPr>
          <w:trHeight w:hRule="exact" w:val="807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8AA" w:rsidRDefault="00937E9A" w:rsidP="00130EF4">
            <w:pPr>
              <w:spacing w:before="101" w:line="400" w:lineRule="exact"/>
              <w:ind w:right="1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>0 –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12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:00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8AA" w:rsidRDefault="00937E9A" w:rsidP="003C322A">
            <w:pPr>
              <w:spacing w:before="104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Written Communication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8AA" w:rsidRDefault="00937E9A" w:rsidP="003C322A">
            <w:pPr>
              <w:spacing w:before="104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Written Communication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8AA" w:rsidRDefault="00937E9A" w:rsidP="003C322A">
            <w:pPr>
              <w:spacing w:before="104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Written Communication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8AA" w:rsidRDefault="00937E9A" w:rsidP="003C322A">
            <w:pPr>
              <w:spacing w:before="104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Written Communication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8AA" w:rsidRDefault="00937E9A" w:rsidP="003C322A">
            <w:pPr>
              <w:spacing w:before="104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Written Communication</w:t>
            </w:r>
          </w:p>
        </w:tc>
      </w:tr>
      <w:tr w:rsidR="00C708AA">
        <w:trPr>
          <w:trHeight w:hRule="exact" w:val="459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8AA" w:rsidRDefault="00C708AA" w:rsidP="00130EF4">
            <w:pPr>
              <w:spacing w:before="101" w:line="400" w:lineRule="exact"/>
              <w:ind w:right="18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76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8AA" w:rsidRDefault="00937E9A" w:rsidP="003C322A">
            <w:pPr>
              <w:spacing w:before="104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Break</w:t>
            </w:r>
          </w:p>
        </w:tc>
      </w:tr>
      <w:tr w:rsidR="00C708AA">
        <w:trPr>
          <w:trHeight w:hRule="exact" w:val="571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8AA" w:rsidRDefault="00937E9A" w:rsidP="00130EF4">
            <w:pPr>
              <w:spacing w:before="101" w:line="400" w:lineRule="exact"/>
              <w:ind w:right="13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20:00-21:20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8AA" w:rsidRDefault="00937E9A" w:rsidP="003C322A">
            <w:pPr>
              <w:spacing w:before="104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0" w:name="OLE_LINK7"/>
            <w:r>
              <w:rPr>
                <w:rFonts w:ascii="Times New Roman" w:eastAsia="宋体" w:hAnsi="Times New Roman" w:cs="Times New Roman"/>
                <w:szCs w:val="21"/>
              </w:rPr>
              <w:t>Academic Class 1</w:t>
            </w:r>
            <w:bookmarkEnd w:id="0"/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8AA" w:rsidRDefault="00937E9A" w:rsidP="003C322A">
            <w:pPr>
              <w:spacing w:before="104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Academic Class 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8AA" w:rsidRDefault="00937E9A" w:rsidP="003C322A">
            <w:pPr>
              <w:spacing w:before="104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Academic Class 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8AA" w:rsidRDefault="00937E9A" w:rsidP="003C322A">
            <w:pPr>
              <w:spacing w:before="104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Academic Class 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8AA" w:rsidRDefault="00937E9A" w:rsidP="003C322A">
            <w:pPr>
              <w:spacing w:before="104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Academic Class 1</w:t>
            </w:r>
          </w:p>
        </w:tc>
      </w:tr>
      <w:tr w:rsidR="00C708AA">
        <w:trPr>
          <w:trHeight w:hRule="exact" w:val="435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8AA" w:rsidRDefault="00937E9A" w:rsidP="00130EF4">
            <w:pPr>
              <w:spacing w:before="101" w:line="400" w:lineRule="exact"/>
              <w:ind w:right="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21:20-21:40</w:t>
            </w:r>
          </w:p>
        </w:tc>
        <w:tc>
          <w:tcPr>
            <w:tcW w:w="76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8AA" w:rsidRDefault="00937E9A" w:rsidP="003C322A">
            <w:pPr>
              <w:spacing w:before="104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Break</w:t>
            </w:r>
          </w:p>
        </w:tc>
      </w:tr>
      <w:tr w:rsidR="00C708AA">
        <w:trPr>
          <w:trHeight w:hRule="exact" w:val="64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8AA" w:rsidRDefault="00937E9A" w:rsidP="00130EF4">
            <w:pPr>
              <w:spacing w:before="101" w:line="400" w:lineRule="exact"/>
              <w:ind w:right="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21:40-23:00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8AA" w:rsidRDefault="00937E9A" w:rsidP="003C322A">
            <w:pPr>
              <w:spacing w:before="104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Academic Class 2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8AA" w:rsidRDefault="00937E9A" w:rsidP="003C322A">
            <w:pPr>
              <w:spacing w:before="104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Academic Class 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8AA" w:rsidRDefault="00937E9A" w:rsidP="003C322A">
            <w:pPr>
              <w:spacing w:before="104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Academic Class 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8AA" w:rsidRDefault="00937E9A" w:rsidP="003C322A">
            <w:pPr>
              <w:spacing w:before="104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Academic Class 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8AA" w:rsidRDefault="00937E9A" w:rsidP="003C322A">
            <w:pPr>
              <w:spacing w:before="104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Academic Class 2</w:t>
            </w:r>
          </w:p>
        </w:tc>
      </w:tr>
    </w:tbl>
    <w:p w:rsidR="00C708AA" w:rsidRPr="003C322A" w:rsidRDefault="00937E9A" w:rsidP="00130EF4">
      <w:pPr>
        <w:spacing w:line="400" w:lineRule="exact"/>
        <w:ind w:firstLineChars="200" w:firstLine="422"/>
        <w:jc w:val="left"/>
        <w:rPr>
          <w:rFonts w:ascii="Calibri" w:eastAsia="宋体" w:hAnsi="Courier New" w:cs="Courier New"/>
          <w:b/>
          <w:szCs w:val="21"/>
        </w:rPr>
      </w:pPr>
      <w:r w:rsidRPr="003C322A">
        <w:rPr>
          <w:rFonts w:ascii="Calibri" w:eastAsia="宋体" w:hAnsi="Courier New" w:cs="Courier New" w:hint="eastAsia"/>
          <w:b/>
          <w:szCs w:val="21"/>
        </w:rPr>
        <w:t>具体项目专业、课程设计与时间安排详见附件</w:t>
      </w:r>
      <w:r w:rsidRPr="003C322A">
        <w:rPr>
          <w:rFonts w:ascii="Calibri" w:eastAsia="宋体" w:hAnsi="Courier New" w:cs="Courier New" w:hint="eastAsia"/>
          <w:b/>
          <w:szCs w:val="21"/>
        </w:rPr>
        <w:t>1.1</w:t>
      </w:r>
      <w:r w:rsidRPr="003C322A">
        <w:rPr>
          <w:rFonts w:ascii="Calibri" w:eastAsia="宋体" w:hAnsi="Courier New" w:cs="Courier New" w:hint="eastAsia"/>
          <w:b/>
          <w:szCs w:val="21"/>
        </w:rPr>
        <w:t>及</w:t>
      </w:r>
      <w:r w:rsidRPr="003C322A">
        <w:rPr>
          <w:rFonts w:ascii="Calibri" w:eastAsia="宋体" w:hAnsi="Courier New" w:cs="Courier New" w:hint="eastAsia"/>
          <w:b/>
          <w:szCs w:val="21"/>
        </w:rPr>
        <w:t>1.2</w:t>
      </w:r>
    </w:p>
    <w:p w:rsidR="00C708AA" w:rsidRPr="00FB4560" w:rsidRDefault="00937E9A" w:rsidP="00130EF4">
      <w:pPr>
        <w:widowControl/>
        <w:spacing w:line="40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456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lastRenderedPageBreak/>
        <w:t>三、申请资格与条件</w:t>
      </w:r>
    </w:p>
    <w:p w:rsidR="00C708AA" w:rsidRDefault="00937E9A" w:rsidP="00130EF4">
      <w:pPr>
        <w:widowControl/>
        <w:spacing w:line="40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1. </w:t>
      </w:r>
      <w:r>
        <w:rPr>
          <w:rFonts w:ascii="宋体" w:eastAsia="宋体" w:hAnsi="宋体" w:cs="宋体" w:hint="eastAsia"/>
          <w:kern w:val="0"/>
          <w:sz w:val="24"/>
          <w:szCs w:val="24"/>
        </w:rPr>
        <w:t>申请人目前应为我校在读的优秀全日制本科学生。</w:t>
      </w:r>
    </w:p>
    <w:p w:rsidR="00C708AA" w:rsidRDefault="00937E9A" w:rsidP="00130EF4">
      <w:pPr>
        <w:widowControl/>
        <w:spacing w:line="40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．政治素质好，坚持四项基本原则，热爱社会主义祖国，无违法违纪记录。</w:t>
      </w:r>
    </w:p>
    <w:p w:rsidR="00C708AA" w:rsidRDefault="00937E9A" w:rsidP="00130EF4">
      <w:pPr>
        <w:widowControl/>
        <w:spacing w:line="40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3. </w:t>
      </w:r>
      <w:r>
        <w:rPr>
          <w:rFonts w:ascii="宋体" w:eastAsia="宋体" w:hAnsi="宋体" w:cs="宋体" w:hint="eastAsia"/>
          <w:kern w:val="0"/>
          <w:sz w:val="24"/>
          <w:szCs w:val="24"/>
        </w:rPr>
        <w:t>学习成绩优异，具有较强的、扎实的专业理论基础和实践能力，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平均绩点达到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 xml:space="preserve"> 2.5 </w:t>
      </w:r>
      <w:r>
        <w:rPr>
          <w:rFonts w:ascii="宋体" w:eastAsia="宋体" w:hAnsi="宋体" w:cs="宋体" w:hint="eastAsia"/>
          <w:kern w:val="0"/>
          <w:sz w:val="24"/>
          <w:szCs w:val="24"/>
        </w:rPr>
        <w:t>以上，建议</w:t>
      </w:r>
      <w:r>
        <w:rPr>
          <w:rFonts w:ascii="宋体" w:eastAsia="宋体" w:hAnsi="宋体" w:cs="宋体" w:hint="eastAsia"/>
          <w:kern w:val="0"/>
          <w:sz w:val="24"/>
          <w:szCs w:val="24"/>
          <w:lang w:val="en-CA"/>
        </w:rPr>
        <w:t>GPA 3.0以上</w:t>
      </w:r>
      <w:r>
        <w:rPr>
          <w:rFonts w:ascii="宋体" w:eastAsia="宋体" w:hAnsi="宋体" w:cs="宋体" w:hint="eastAsia"/>
          <w:kern w:val="0"/>
          <w:sz w:val="24"/>
          <w:szCs w:val="24"/>
        </w:rPr>
        <w:t>（满分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4.0</w:t>
      </w:r>
      <w:r>
        <w:rPr>
          <w:rFonts w:ascii="宋体" w:eastAsia="宋体" w:hAnsi="宋体" w:cs="宋体" w:hint="eastAsia"/>
          <w:kern w:val="0"/>
          <w:sz w:val="24"/>
          <w:szCs w:val="24"/>
        </w:rPr>
        <w:t>）。</w:t>
      </w:r>
    </w:p>
    <w:p w:rsidR="00C708AA" w:rsidRDefault="00937E9A" w:rsidP="00130EF4">
      <w:pPr>
        <w:widowControl/>
        <w:spacing w:line="40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．英语水平证明（托福、雅思、大学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四六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级或国内学校出具的官方信函）</w:t>
      </w:r>
    </w:p>
    <w:p w:rsidR="00C708AA" w:rsidRDefault="00937E9A" w:rsidP="00130EF4">
      <w:pPr>
        <w:widowControl/>
        <w:spacing w:line="40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5. </w:t>
      </w:r>
      <w:r>
        <w:rPr>
          <w:rFonts w:ascii="宋体" w:eastAsia="宋体" w:hAnsi="宋体" w:cs="宋体" w:hint="eastAsia"/>
          <w:kern w:val="0"/>
          <w:sz w:val="24"/>
          <w:szCs w:val="24"/>
        </w:rPr>
        <w:t>身心健康，能圆满完成学习任务。</w:t>
      </w:r>
    </w:p>
    <w:p w:rsidR="00C708AA" w:rsidRDefault="00937E9A" w:rsidP="00130EF4">
      <w:pPr>
        <w:widowControl/>
        <w:spacing w:line="40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kern w:val="0"/>
          <w:sz w:val="24"/>
          <w:szCs w:val="24"/>
        </w:rPr>
        <w:t>．已交足我校规定的各项费用，具有一定的经济能力。</w:t>
      </w:r>
    </w:p>
    <w:p w:rsidR="00C708AA" w:rsidRPr="00FB4560" w:rsidRDefault="00C708AA" w:rsidP="00FB4560">
      <w:pPr>
        <w:widowControl/>
        <w:spacing w:line="400" w:lineRule="exact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C708AA" w:rsidRPr="00FB4560" w:rsidRDefault="00937E9A" w:rsidP="00FB4560">
      <w:pPr>
        <w:widowControl/>
        <w:spacing w:line="400" w:lineRule="exact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FB456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四、选拔程序</w:t>
      </w:r>
    </w:p>
    <w:p w:rsidR="00C708AA" w:rsidRDefault="00937E9A" w:rsidP="00130EF4">
      <w:pPr>
        <w:widowControl/>
        <w:spacing w:line="40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．采取“个人申请、学院推荐、专家评审、择优录取”的方式进行选拔。</w:t>
      </w:r>
    </w:p>
    <w:p w:rsidR="00C708AA" w:rsidRDefault="00937E9A" w:rsidP="00130EF4">
      <w:pPr>
        <w:widowControl/>
        <w:spacing w:line="40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．申请人应向所在学院提交以下材料：</w:t>
      </w:r>
    </w:p>
    <w:p w:rsidR="00C708AA" w:rsidRDefault="00937E9A" w:rsidP="00130EF4">
      <w:pPr>
        <w:widowControl/>
        <w:spacing w:line="400" w:lineRule="exact"/>
        <w:ind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Calibri" w:eastAsia="宋体" w:hAnsi="Calibri" w:cs="宋体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）《南京邮电大学本科生海外访学申请表》（附件</w:t>
      </w:r>
      <w:r>
        <w:rPr>
          <w:rFonts w:ascii="Calibri" w:eastAsia="宋体" w:hAnsi="Calibri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）；</w:t>
      </w:r>
    </w:p>
    <w:p w:rsidR="00C708AA" w:rsidRDefault="00937E9A" w:rsidP="00130EF4">
      <w:pPr>
        <w:widowControl/>
        <w:spacing w:line="400" w:lineRule="exact"/>
        <w:ind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Calibri" w:eastAsia="宋体" w:hAnsi="Calibri" w:cs="宋体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）英语水平证明及复印件；</w:t>
      </w:r>
    </w:p>
    <w:p w:rsidR="00C708AA" w:rsidRDefault="00937E9A" w:rsidP="00130EF4">
      <w:pPr>
        <w:widowControl/>
        <w:spacing w:line="400" w:lineRule="exact"/>
        <w:ind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Calibri" w:eastAsia="宋体" w:hAnsi="Calibri" w:cs="宋体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）学术科研能力证明材料及复印件（包括论文发表、参与竞赛、项目等）；</w:t>
      </w:r>
    </w:p>
    <w:p w:rsidR="00C708AA" w:rsidRDefault="00937E9A" w:rsidP="00130EF4">
      <w:pPr>
        <w:widowControl/>
        <w:spacing w:line="400" w:lineRule="exact"/>
        <w:ind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Calibri" w:eastAsia="宋体" w:hAnsi="Calibri" w:cs="宋体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）获奖证书及复印件。</w:t>
      </w:r>
    </w:p>
    <w:p w:rsidR="00C708AA" w:rsidRDefault="00937E9A" w:rsidP="00130EF4">
      <w:pPr>
        <w:widowControl/>
        <w:spacing w:line="40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．申请人将申请材料交至各学院，学院根据申请资格与条件对申请人进行筛选、排序并填写《南京邮电大学本科生海外访学申请汇总表》（附件</w:t>
      </w:r>
      <w:r>
        <w:rPr>
          <w:rFonts w:ascii="Calibri" w:eastAsia="宋体" w:hAnsi="Calibri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），</w:t>
      </w:r>
      <w:r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于</w:t>
      </w:r>
      <w:r>
        <w:rPr>
          <w:rFonts w:ascii="Calibri" w:eastAsia="宋体" w:hAnsi="Calibri" w:cs="宋体" w:hint="eastAsia"/>
          <w:b/>
          <w:bCs/>
          <w:kern w:val="0"/>
          <w:sz w:val="24"/>
          <w:szCs w:val="24"/>
          <w:highlight w:val="yellow"/>
        </w:rPr>
        <w:t>1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highlight w:val="yellow"/>
        </w:rPr>
        <w:t>月5日</w:t>
      </w:r>
      <w:r w:rsidRPr="00AF1B68">
        <w:rPr>
          <w:rFonts w:ascii="宋体" w:eastAsia="宋体" w:hAnsi="宋体" w:cs="宋体" w:hint="eastAsia"/>
          <w:kern w:val="0"/>
          <w:sz w:val="24"/>
          <w:szCs w:val="24"/>
        </w:rPr>
        <w:t>前将候选人申请材料及汇总表交至教务处实践教学科</w:t>
      </w:r>
      <w:r>
        <w:rPr>
          <w:rFonts w:ascii="宋体" w:eastAsia="宋体" w:hAnsi="宋体" w:cs="宋体" w:hint="eastAsia"/>
          <w:kern w:val="0"/>
          <w:sz w:val="24"/>
          <w:szCs w:val="24"/>
        </w:rPr>
        <w:t>，逾期不递交材料的学院作自动放弃处理。</w:t>
      </w:r>
    </w:p>
    <w:p w:rsidR="00C708AA" w:rsidRDefault="00937E9A" w:rsidP="00130EF4">
      <w:pPr>
        <w:widowControl/>
        <w:spacing w:line="40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．教务处会同相关部门，共同组织专家进行评审，确定我校参加</w:t>
      </w:r>
      <w:r w:rsidR="003E7EC9">
        <w:rPr>
          <w:rFonts w:ascii="宋体" w:eastAsia="宋体" w:hAnsi="宋体" w:cs="宋体" w:hint="eastAsia"/>
          <w:kern w:val="0"/>
          <w:sz w:val="24"/>
          <w:szCs w:val="24"/>
        </w:rPr>
        <w:t>该</w:t>
      </w:r>
      <w:r>
        <w:rPr>
          <w:rFonts w:ascii="宋体" w:eastAsia="宋体" w:hAnsi="宋体" w:cs="宋体" w:hint="eastAsia"/>
          <w:kern w:val="0"/>
          <w:sz w:val="24"/>
          <w:szCs w:val="24"/>
        </w:rPr>
        <w:t>项目的学生名单，并进行公示。</w:t>
      </w:r>
    </w:p>
    <w:p w:rsidR="00C708AA" w:rsidRDefault="00937E9A" w:rsidP="00130EF4">
      <w:pPr>
        <w:widowControl/>
        <w:spacing w:line="400" w:lineRule="exact"/>
        <w:ind w:firstLine="48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5.</w:t>
      </w:r>
      <w:r w:rsidR="003C322A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奥斯汀分校的申请材料及要求详见附件1.1，申请表模板参见附件1.3</w:t>
      </w:r>
      <w:r w:rsidR="003C322A">
        <w:rPr>
          <w:rFonts w:ascii="宋体" w:eastAsia="宋体" w:hAnsi="宋体" w:cs="宋体"/>
          <w:b/>
          <w:bCs/>
          <w:kern w:val="0"/>
          <w:sz w:val="24"/>
          <w:szCs w:val="24"/>
        </w:rPr>
        <w:t>。</w:t>
      </w:r>
    </w:p>
    <w:p w:rsidR="00C708AA" w:rsidRDefault="00C708AA" w:rsidP="00130EF4">
      <w:pPr>
        <w:widowControl/>
        <w:spacing w:line="400" w:lineRule="exact"/>
        <w:ind w:firstLine="48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C708AA" w:rsidRDefault="00937E9A" w:rsidP="00130EF4">
      <w:pPr>
        <w:widowControl/>
        <w:spacing w:line="400" w:lineRule="exact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五、费用情况</w:t>
      </w:r>
    </w:p>
    <w:p w:rsidR="00C708AA" w:rsidRDefault="00937E9A" w:rsidP="00130EF4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课程费用：$1300美金（共60个小时）</w:t>
      </w:r>
    </w:p>
    <w:p w:rsidR="00937E9A" w:rsidRDefault="00937E9A" w:rsidP="00130EF4">
      <w:pPr>
        <w:widowControl/>
        <w:spacing w:line="400" w:lineRule="exac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C708AA" w:rsidRDefault="00937E9A" w:rsidP="00130EF4">
      <w:pPr>
        <w:widowControl/>
        <w:spacing w:line="40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六、其他</w:t>
      </w:r>
      <w:bookmarkStart w:id="1" w:name="_GoBack"/>
      <w:bookmarkEnd w:id="1"/>
    </w:p>
    <w:p w:rsidR="00C708AA" w:rsidRDefault="00937E9A" w:rsidP="00130EF4">
      <w:pPr>
        <w:widowControl/>
        <w:spacing w:line="40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1. </w:t>
      </w:r>
      <w:r>
        <w:rPr>
          <w:rFonts w:ascii="宋体" w:eastAsia="宋体" w:hAnsi="宋体" w:cs="宋体" w:hint="eastAsia"/>
          <w:kern w:val="0"/>
          <w:sz w:val="24"/>
          <w:szCs w:val="24"/>
        </w:rPr>
        <w:t>联系人：</w:t>
      </w:r>
    </w:p>
    <w:p w:rsidR="00C708AA" w:rsidRDefault="00937E9A" w:rsidP="00130EF4">
      <w:pPr>
        <w:widowControl/>
        <w:spacing w:line="40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国际合作交流处：李老师</w:t>
      </w:r>
      <w:r>
        <w:rPr>
          <w:rFonts w:ascii="Calibri" w:eastAsia="宋体" w:hAnsi="Calibri" w:cs="宋体"/>
          <w:kern w:val="0"/>
          <w:sz w:val="24"/>
          <w:szCs w:val="24"/>
        </w:rPr>
        <w:t> </w:t>
      </w:r>
      <w:r>
        <w:rPr>
          <w:rFonts w:ascii="Arial" w:eastAsia="宋体" w:hAnsi="Arial" w:cs="Arial"/>
          <w:color w:val="000000"/>
          <w:szCs w:val="21"/>
        </w:rPr>
        <w:t>83492393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C708AA" w:rsidRDefault="00937E9A" w:rsidP="00130EF4">
      <w:pPr>
        <w:widowControl/>
        <w:spacing w:line="40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教务处：于老师</w:t>
      </w:r>
      <w:r>
        <w:rPr>
          <w:rFonts w:ascii="Calibri" w:eastAsia="宋体" w:hAnsi="Calibri" w:cs="宋体"/>
          <w:kern w:val="0"/>
          <w:sz w:val="24"/>
          <w:szCs w:val="24"/>
        </w:rPr>
        <w:t>85866258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C708AA" w:rsidRDefault="00937E9A" w:rsidP="00130EF4">
      <w:pPr>
        <w:widowControl/>
        <w:spacing w:line="40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2. </w:t>
      </w:r>
      <w:r>
        <w:rPr>
          <w:rFonts w:ascii="宋体" w:eastAsia="宋体" w:hAnsi="宋体" w:cs="宋体" w:hint="eastAsia"/>
          <w:kern w:val="0"/>
          <w:sz w:val="24"/>
          <w:szCs w:val="24"/>
        </w:rPr>
        <w:t>被录取学生需交纳材料，另行通知。</w:t>
      </w:r>
    </w:p>
    <w:p w:rsidR="00C708AA" w:rsidRDefault="00130EF4" w:rsidP="00130EF4">
      <w:pPr>
        <w:widowControl/>
        <w:spacing w:line="400" w:lineRule="exact"/>
        <w:ind w:firstLineChars="1800" w:firstLine="43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   </w:t>
      </w:r>
      <w:r w:rsidR="00937E9A">
        <w:rPr>
          <w:rFonts w:ascii="宋体" w:eastAsia="宋体" w:hAnsi="宋体" w:cs="宋体" w:hint="eastAsia"/>
          <w:kern w:val="0"/>
          <w:sz w:val="24"/>
          <w:szCs w:val="24"/>
        </w:rPr>
        <w:t>教务处</w:t>
      </w:r>
    </w:p>
    <w:p w:rsidR="00C708AA" w:rsidRDefault="00937E9A" w:rsidP="00130EF4">
      <w:pPr>
        <w:widowControl/>
        <w:spacing w:line="400" w:lineRule="exact"/>
        <w:ind w:firstLineChars="1850" w:firstLine="444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Calibri" w:eastAsia="宋体" w:hAnsi="Calibri" w:cs="宋体" w:hint="eastAsia"/>
          <w:kern w:val="0"/>
          <w:sz w:val="24"/>
          <w:szCs w:val="24"/>
        </w:rPr>
        <w:t>2021</w:t>
      </w:r>
      <w:r>
        <w:rPr>
          <w:rFonts w:ascii="宋体" w:eastAsia="宋体" w:hAnsi="宋体" w:cs="宋体" w:hint="eastAsia"/>
          <w:kern w:val="0"/>
          <w:sz w:val="24"/>
          <w:szCs w:val="24"/>
        </w:rPr>
        <w:t>年</w:t>
      </w:r>
      <w:r>
        <w:rPr>
          <w:rFonts w:ascii="Calibri" w:eastAsia="宋体" w:hAnsi="Calibri" w:cs="宋体" w:hint="eastAsia"/>
          <w:kern w:val="0"/>
          <w:sz w:val="24"/>
          <w:szCs w:val="24"/>
        </w:rPr>
        <w:t>10</w:t>
      </w:r>
      <w:r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4316DA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4316DA">
        <w:rPr>
          <w:rFonts w:ascii="宋体" w:eastAsia="宋体" w:hAnsi="宋体" w:cs="宋体"/>
          <w:kern w:val="0"/>
          <w:sz w:val="24"/>
          <w:szCs w:val="24"/>
        </w:rPr>
        <w:t>0日</w:t>
      </w:r>
    </w:p>
    <w:sectPr w:rsidR="00C70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Times New Roman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A4F93E2"/>
    <w:multiLevelType w:val="multilevel"/>
    <w:tmpl w:val="8A4F93E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13C63E3F"/>
    <w:multiLevelType w:val="multilevel"/>
    <w:tmpl w:val="13C63E3F"/>
    <w:lvl w:ilvl="0">
      <w:start w:val="2019"/>
      <w:numFmt w:val="bullet"/>
      <w:lvlText w:val="●"/>
      <w:lvlJc w:val="left"/>
      <w:pPr>
        <w:ind w:left="360" w:hanging="360"/>
      </w:pPr>
      <w:rPr>
        <w:rFonts w:ascii="宋体" w:eastAsia="宋体" w:hAnsi="宋体" w:cs="Calibr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571C4"/>
    <w:rsid w:val="00130EF4"/>
    <w:rsid w:val="003C322A"/>
    <w:rsid w:val="003E7EC9"/>
    <w:rsid w:val="004316DA"/>
    <w:rsid w:val="00816D19"/>
    <w:rsid w:val="00937E9A"/>
    <w:rsid w:val="00AF1B68"/>
    <w:rsid w:val="00C708AA"/>
    <w:rsid w:val="00EF66F5"/>
    <w:rsid w:val="00FB4560"/>
    <w:rsid w:val="44F35501"/>
    <w:rsid w:val="4B063F3C"/>
    <w:rsid w:val="50C571C4"/>
    <w:rsid w:val="5187487C"/>
    <w:rsid w:val="544B7B81"/>
    <w:rsid w:val="5F953F4F"/>
    <w:rsid w:val="7543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155386-28B6-4648-9BD7-CBA8A100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pPr>
      <w:jc w:val="left"/>
    </w:pPr>
    <w:rPr>
      <w:rFonts w:eastAsia="Times New Roman" w:hAnsi="Courier New" w:cs="Times New Roman"/>
      <w:kern w:val="0"/>
    </w:rPr>
  </w:style>
  <w:style w:type="paragraph" w:styleId="a4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无间隔1"/>
    <w:uiPriority w:val="99"/>
    <w:qFormat/>
    <w:pPr>
      <w:adjustRightInd w:val="0"/>
      <w:snapToGrid w:val="0"/>
    </w:pPr>
    <w:rPr>
      <w:rFonts w:ascii="Tahoma" w:hAnsi="Tahoma" w:cs="Tahoma"/>
      <w:sz w:val="22"/>
      <w:szCs w:val="22"/>
    </w:rPr>
  </w:style>
  <w:style w:type="paragraph" w:customStyle="1" w:styleId="TableParagraph">
    <w:name w:val="Table Paragraph"/>
    <w:basedOn w:val="a"/>
    <w:uiPriority w:val="1"/>
    <w:qFormat/>
    <w:rPr>
      <w:rFonts w:eastAsia="宋体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Dell</cp:lastModifiedBy>
  <cp:revision>10</cp:revision>
  <dcterms:created xsi:type="dcterms:W3CDTF">2020-10-16T10:11:00Z</dcterms:created>
  <dcterms:modified xsi:type="dcterms:W3CDTF">2021-10-20T07:00:00Z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FED4D0C2EE004271A2C5B4A202D173FF</vt:lpwstr>
  </property>
</Properties>
</file>