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0A074C">
      <w:pPr>
        <w:pStyle w:val="2"/>
        <w:spacing w:before="0" w:line="288" w:lineRule="auto"/>
        <w:ind w:left="0"/>
        <w:jc w:val="center"/>
        <w:rPr>
          <w:rFonts w:hint="eastAsia" w:asciiTheme="minorEastAsia" w:hAnsiTheme="minorEastAsia" w:eastAsiaTheme="minorEastAsia" w:cstheme="minorEastAsia"/>
          <w:b/>
          <w:spacing w:val="0"/>
          <w:lang w:val="en-US" w:eastAsia="zh-CN"/>
        </w:rPr>
      </w:pPr>
      <w:r>
        <w:rPr>
          <w:rFonts w:hint="eastAsia" w:asciiTheme="minorEastAsia" w:hAnsiTheme="minorEastAsia" w:eastAsiaTheme="minorEastAsia" w:cstheme="minorEastAsia"/>
          <w:b/>
          <w:spacing w:val="0"/>
        </w:rPr>
        <w:t>伦敦大学学院202</w:t>
      </w:r>
      <w:r>
        <w:rPr>
          <w:rFonts w:hint="eastAsia" w:asciiTheme="minorEastAsia" w:hAnsiTheme="minorEastAsia" w:eastAsiaTheme="minorEastAsia" w:cstheme="minorEastAsia"/>
          <w:b/>
          <w:spacing w:val="0"/>
          <w:lang w:val="en-US" w:eastAsia="zh-CN"/>
        </w:rPr>
        <w:t>7</w:t>
      </w:r>
      <w:r>
        <w:rPr>
          <w:rFonts w:hint="eastAsia" w:asciiTheme="minorEastAsia" w:hAnsiTheme="minorEastAsia" w:eastAsiaTheme="minorEastAsia" w:cstheme="minorEastAsia"/>
          <w:b/>
          <w:spacing w:val="0"/>
        </w:rPr>
        <w:t>年寒假生物统计与公共卫生人工智能项目</w:t>
      </w:r>
      <w:r>
        <w:rPr>
          <w:rFonts w:hint="eastAsia" w:asciiTheme="minorEastAsia" w:hAnsiTheme="minorEastAsia" w:eastAsiaTheme="minorEastAsia" w:cstheme="minorEastAsia"/>
          <w:b/>
          <w:spacing w:val="0"/>
          <w:lang w:val="en-US" w:eastAsia="zh-CN"/>
        </w:rPr>
        <w:t>简介</w:t>
      </w:r>
    </w:p>
    <w:p w14:paraId="533CC86F">
      <w:pPr>
        <w:spacing w:line="288" w:lineRule="auto"/>
        <w:jc w:val="center"/>
        <w:rPr>
          <w:rFonts w:asciiTheme="minorEastAsia" w:hAnsiTheme="minorEastAsia" w:eastAsiaTheme="minorEastAsia"/>
          <w:b/>
          <w:sz w:val="21"/>
          <w:szCs w:val="21"/>
        </w:rPr>
      </w:pPr>
    </w:p>
    <w:p w14:paraId="7C6CAF3A">
      <w:pPr>
        <w:pStyle w:val="2"/>
        <w:spacing w:before="0" w:line="288" w:lineRule="auto"/>
        <w:ind w:left="0" w:firstLine="411" w:firstLineChars="196"/>
        <w:rPr>
          <w:rFonts w:asciiTheme="minorEastAsia" w:hAnsiTheme="minorEastAsia" w:eastAsiaTheme="minorEastAsia" w:cstheme="minorEastAsia"/>
          <w:spacing w:val="0"/>
        </w:rPr>
      </w:pPr>
      <w:r>
        <w:rPr>
          <w:rFonts w:hint="eastAsia" w:asciiTheme="minorEastAsia" w:hAnsiTheme="minorEastAsia" w:eastAsiaTheme="minorEastAsia" w:cstheme="minorEastAsia"/>
          <w:spacing w:val="0"/>
        </w:rPr>
        <w:t>为实施我校国际化战略，帮助在校生有机会赴世界一流优质教学资源大学学习，重点培养具有国际视野和国际竞争力的高素质人才，和部分同学毕业后赴世界一流大学或研究机构继续深造的目标，特组织参加伦敦大学学院（UCL）2027年寒假生物统计和公共卫生人工智能项目。项目期间，利用真实公共卫生数据学习人工智能在医学中的应用，获得官方证书，提高综合实力，为申请海外名校研究生和更高学术追求提供途径和海外背景支持。</w:t>
      </w:r>
      <w:bookmarkStart w:id="1" w:name="_GoBack"/>
      <w:bookmarkEnd w:id="1"/>
      <w:r>
        <w:rPr>
          <w:rFonts w:hint="eastAsia" w:asciiTheme="minorEastAsia" w:hAnsiTheme="minorEastAsia" w:eastAsiaTheme="minorEastAsia" w:cstheme="minorEastAsia"/>
          <w:spacing w:val="0"/>
        </w:rPr>
        <w:t>现将相关事项通知如下：</w:t>
      </w:r>
    </w:p>
    <w:p w14:paraId="5E312E84">
      <w:pPr>
        <w:pStyle w:val="2"/>
        <w:spacing w:before="0" w:line="288" w:lineRule="auto"/>
        <w:rPr>
          <w:rFonts w:asciiTheme="minorEastAsia" w:hAnsiTheme="minorEastAsia" w:eastAsiaTheme="minorEastAsia" w:cstheme="minorEastAsia"/>
          <w:spacing w:val="0"/>
        </w:rPr>
      </w:pPr>
    </w:p>
    <w:p w14:paraId="0D4E29EC">
      <w:pPr>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适合专业：</w:t>
      </w:r>
      <w:r>
        <w:rPr>
          <w:rFonts w:asciiTheme="minorEastAsia" w:hAnsiTheme="minorEastAsia" w:eastAsiaTheme="minorEastAsia" w:cstheme="minorEastAsia"/>
          <w:sz w:val="21"/>
          <w:szCs w:val="21"/>
        </w:rPr>
        <w:t>公共卫生、预防医学、流行病学、临床医学、基础医学、护理学、药学、生物医学、生物科学、生物技术、生物信息学</w:t>
      </w:r>
    </w:p>
    <w:p w14:paraId="68BEF7F1">
      <w:pPr>
        <w:pStyle w:val="2"/>
        <w:spacing w:before="0" w:line="288" w:lineRule="auto"/>
        <w:rPr>
          <w:rFonts w:asciiTheme="minorEastAsia" w:hAnsiTheme="minorEastAsia" w:eastAsiaTheme="minorEastAsia" w:cstheme="minorEastAsia"/>
          <w:spacing w:val="0"/>
        </w:rPr>
      </w:pPr>
      <w:r>
        <w:rPr>
          <w:rFonts w:hint="eastAsia" w:asciiTheme="minorEastAsia" w:hAnsiTheme="minorEastAsia" w:eastAsiaTheme="minorEastAsia" w:cstheme="minorEastAsia"/>
          <w:spacing w:val="0"/>
        </w:rPr>
        <w:t xml:space="preserve"> </w:t>
      </w:r>
    </w:p>
    <w:p w14:paraId="3EAFC4CE">
      <w:pPr>
        <w:pStyle w:val="2"/>
        <w:spacing w:before="0" w:line="288" w:lineRule="auto"/>
        <w:ind w:left="0"/>
        <w:rPr>
          <w:rFonts w:asciiTheme="minorEastAsia" w:hAnsiTheme="minorEastAsia" w:eastAsiaTheme="minorEastAsia" w:cstheme="minorEastAsia"/>
          <w:b/>
          <w:spacing w:val="0"/>
        </w:rPr>
      </w:pPr>
      <w:r>
        <w:rPr>
          <w:rFonts w:hint="eastAsia" w:asciiTheme="minorEastAsia" w:hAnsiTheme="minorEastAsia" w:eastAsiaTheme="minorEastAsia" w:cstheme="minorEastAsia"/>
          <w:b/>
          <w:spacing w:val="0"/>
        </w:rPr>
        <w:t>一、海外大学和城市简介</w:t>
      </w:r>
    </w:p>
    <w:p w14:paraId="31DC33C7">
      <w:pPr>
        <w:pStyle w:val="2"/>
        <w:spacing w:before="0" w:line="288" w:lineRule="auto"/>
        <w:ind w:left="0"/>
        <w:rPr>
          <w:rFonts w:asciiTheme="minorEastAsia" w:hAnsiTheme="minorEastAsia" w:eastAsiaTheme="minorEastAsia" w:cstheme="minorEastAsia"/>
          <w:spacing w:val="0"/>
        </w:rPr>
      </w:pPr>
      <w:r>
        <w:rPr>
          <w:rFonts w:hint="eastAsia" w:asciiTheme="minorEastAsia" w:hAnsiTheme="minorEastAsia" w:eastAsiaTheme="minorEastAsia" w:cstheme="minorEastAsia"/>
          <w:spacing w:val="0"/>
        </w:rPr>
        <w:t>伦敦大学学院（University College London，简称UCL），建校于1826年，位于英国首都伦敦，是一所享有世界顶级声誉的综合研究型大学，其排名稳居世界前十。UCL还是伦敦大学联盟的创始院校，为G5超级精英大学之一，其综合排名在2027QS世界大学排名中位列世界第8名。这座世界级学府不仅学术实力雄厚，更以创新精神和地处伦敦核心地带的独特魅力吸引着来自世界各地的学子。UCL素有“诺贝尔奖摇篮”之美誉，迄今共有34位诺贝尔奖得主曾在此学习或工作，其校友网络覆盖190个国家，遍布政界、科学界、文化艺术等多个领域。知名校友包括印度国父甘地、诺贝尔物理学奖得主罗杰·彭罗斯、DNA结构发现者弗朗西斯·克里克，以及著名导演克里斯托弗·诺兰。</w:t>
      </w:r>
    </w:p>
    <w:p w14:paraId="6B1F0261">
      <w:pPr>
        <w:pStyle w:val="2"/>
        <w:spacing w:before="0" w:line="288" w:lineRule="auto"/>
        <w:ind w:left="0"/>
        <w:rPr>
          <w:rFonts w:asciiTheme="minorEastAsia" w:hAnsiTheme="minorEastAsia" w:eastAsiaTheme="minorEastAsia" w:cstheme="minorEastAsia"/>
          <w:b/>
          <w:spacing w:val="0"/>
        </w:rPr>
      </w:pPr>
    </w:p>
    <w:p w14:paraId="63413476">
      <w:pPr>
        <w:pStyle w:val="2"/>
        <w:spacing w:before="0" w:line="288" w:lineRule="auto"/>
        <w:ind w:left="0"/>
        <w:rPr>
          <w:rFonts w:asciiTheme="minorEastAsia" w:hAnsiTheme="minorEastAsia" w:eastAsiaTheme="minorEastAsia" w:cstheme="minorEastAsia"/>
          <w:b/>
          <w:spacing w:val="0"/>
        </w:rPr>
      </w:pPr>
      <w:r>
        <w:rPr>
          <w:rFonts w:hint="eastAsia" w:asciiTheme="minorEastAsia" w:hAnsiTheme="minorEastAsia" w:eastAsiaTheme="minorEastAsia" w:cstheme="minorEastAsia"/>
          <w:color w:val="000000" w:themeColor="text1"/>
          <w:spacing w:val="0"/>
          <w14:textFill>
            <w14:solidFill>
              <w14:schemeClr w14:val="tx1"/>
            </w14:solidFill>
          </w14:textFill>
        </w:rPr>
        <w:t>伦敦——英国的首都，为英国政治、经济、金融、文化和教育中心。伦敦大学学院的主校区位于Bloomsbury文化区，地理位置极致优越：大英博物馆、大英图书馆步行可达，课堂与城市资源无缝衔接。伦敦作为世界都市和文化熔炉，汇聚了全球美食、艺术展演、国际峰会，让课余生活永不乏味。它还是全世界博物馆、图书馆、电影院、戏剧院、体育场馆数量最多的城市，拥有大本钟、威斯特敏斯特大教堂、白金汉宫等标志性建筑；国家美术馆等世界级艺术机构。伦敦作为世界戏剧中心，西区剧院常年上演《悲惨世界》《歌剧魅影》等经典剧目。它古老而现代，优雅而奔放，传统而创新，彰显着其独有的魅力。</w:t>
      </w:r>
    </w:p>
    <w:p w14:paraId="26B55D4F">
      <w:pPr>
        <w:pStyle w:val="2"/>
        <w:spacing w:before="0" w:line="288" w:lineRule="auto"/>
        <w:ind w:left="0" w:firstLine="411" w:firstLineChars="196"/>
        <w:rPr>
          <w:rFonts w:asciiTheme="minorEastAsia" w:hAnsiTheme="minorEastAsia" w:eastAsiaTheme="minorEastAsia" w:cstheme="minorEastAsia"/>
          <w:spacing w:val="0"/>
        </w:rPr>
      </w:pPr>
    </w:p>
    <w:p w14:paraId="6B6D92D7">
      <w:pPr>
        <w:pStyle w:val="2"/>
        <w:spacing w:before="0" w:line="288" w:lineRule="auto"/>
        <w:ind w:left="0"/>
        <w:rPr>
          <w:rFonts w:asciiTheme="minorEastAsia" w:hAnsiTheme="minorEastAsia" w:eastAsiaTheme="minorEastAsia" w:cstheme="minorEastAsia"/>
          <w:b/>
          <w:spacing w:val="0"/>
        </w:rPr>
      </w:pPr>
      <w:r>
        <w:rPr>
          <w:rFonts w:hint="eastAsia" w:asciiTheme="minorEastAsia" w:hAnsiTheme="minorEastAsia" w:eastAsiaTheme="minorEastAsia" w:cstheme="minorEastAsia"/>
          <w:b/>
          <w:spacing w:val="0"/>
        </w:rPr>
        <w:t>二、项目内容</w:t>
      </w:r>
    </w:p>
    <w:p w14:paraId="0CE7F86B">
      <w:pPr>
        <w:spacing w:line="288" w:lineRule="auto"/>
        <w:rPr>
          <w:rFonts w:asciiTheme="minorEastAsia" w:hAnsiTheme="minorEastAsia" w:eastAsiaTheme="minorEastAsia" w:cstheme="minorEastAsia"/>
          <w:b/>
          <w:bCs/>
          <w:color w:val="333333"/>
          <w:sz w:val="21"/>
          <w:szCs w:val="21"/>
        </w:rPr>
      </w:pPr>
      <w:r>
        <w:rPr>
          <w:rFonts w:hint="eastAsia" w:asciiTheme="minorEastAsia" w:hAnsiTheme="minorEastAsia" w:eastAsiaTheme="minorEastAsia" w:cstheme="minorEastAsia"/>
          <w:b/>
          <w:bCs/>
          <w:color w:val="333333"/>
          <w:sz w:val="21"/>
          <w:szCs w:val="21"/>
        </w:rPr>
        <w:t>1.学术课程部分（</w:t>
      </w:r>
      <w:r>
        <w:rPr>
          <w:rFonts w:asciiTheme="minorEastAsia" w:hAnsiTheme="minorEastAsia" w:eastAsiaTheme="minorEastAsia" w:cstheme="minorEastAsia"/>
          <w:b/>
          <w:bCs/>
          <w:color w:val="333333"/>
          <w:sz w:val="21"/>
          <w:szCs w:val="21"/>
        </w:rPr>
        <w:t>2</w:t>
      </w:r>
      <w:r>
        <w:rPr>
          <w:rFonts w:hint="eastAsia" w:asciiTheme="minorEastAsia" w:hAnsiTheme="minorEastAsia" w:eastAsiaTheme="minorEastAsia" w:cstheme="minorEastAsia"/>
          <w:b/>
          <w:bCs/>
          <w:color w:val="333333"/>
          <w:sz w:val="21"/>
          <w:szCs w:val="21"/>
        </w:rPr>
        <w:t>8小时）</w:t>
      </w:r>
    </w:p>
    <w:p w14:paraId="48FE9EBB">
      <w:pPr>
        <w:pStyle w:val="2"/>
        <w:spacing w:before="0" w:line="288" w:lineRule="auto"/>
        <w:ind w:left="0"/>
        <w:rPr>
          <w:rFonts w:hint="eastAsia" w:asciiTheme="minorEastAsia" w:hAnsiTheme="minorEastAsia" w:eastAsiaTheme="minorEastAsia" w:cstheme="minorEastAsia"/>
          <w:spacing w:val="0"/>
        </w:rPr>
      </w:pPr>
      <w:r>
        <w:rPr>
          <w:rFonts w:hint="eastAsia" w:asciiTheme="minorEastAsia" w:hAnsiTheme="minorEastAsia" w:eastAsiaTheme="minorEastAsia" w:cstheme="minorEastAsia"/>
          <w:spacing w:val="0"/>
        </w:rPr>
        <w:t>课程面向公共卫生及医学专业学生，旨在系统介绍生物统计学核心方法以及现代人工智能（AI）与机器学习技术。课程采用理论教学与实践操作相结合的教学模式，每天安排约1.5小时的专题讲授，并配套1.5小时的R语言实践课程。通过循序渐进的学习与实操，帮助学生掌握公共卫生数据分析的基本方法，培养运用R语言对真实公共卫生数据开展规范、实用且可重复的数据分析能力。在课程最后阶段，学生将以小组形式开展项目汇报，基于真实公共卫生数据集，展示生物统计学建模方法在实际公共卫生问题中的应用。</w:t>
      </w:r>
    </w:p>
    <w:p w14:paraId="672E3EA2">
      <w:pPr>
        <w:spacing w:line="288" w:lineRule="auto"/>
        <w:rPr>
          <w:rFonts w:asciiTheme="minorEastAsia" w:hAnsiTheme="minorEastAsia" w:eastAsiaTheme="minorEastAsia"/>
          <w:sz w:val="21"/>
          <w:szCs w:val="21"/>
        </w:rPr>
      </w:pPr>
    </w:p>
    <w:p w14:paraId="3ACCDCF3">
      <w:pPr>
        <w:pStyle w:val="2"/>
        <w:spacing w:before="0" w:line="288" w:lineRule="auto"/>
        <w:ind w:left="0"/>
        <w:rPr>
          <w:rFonts w:hint="eastAsia" w:asciiTheme="minorEastAsia" w:hAnsiTheme="minorEastAsia" w:eastAsiaTheme="minorEastAsia" w:cstheme="minorEastAsia"/>
          <w:spacing w:val="0"/>
        </w:rPr>
      </w:pPr>
      <w:r>
        <w:rPr>
          <w:rFonts w:hint="eastAsia" w:asciiTheme="minorEastAsia" w:hAnsiTheme="minorEastAsia" w:eastAsiaTheme="minorEastAsia" w:cstheme="minorEastAsia"/>
          <w:spacing w:val="0"/>
        </w:rPr>
        <w:t>课程按照“生物统计学基础 → 数据描述与可视化 → 组间比较与显著性检验 → 回归分析 → 生存分析 → 医学学术论文评阅 → AI与机器学习 → 监督式机器学习 → 可解释AI与综合项目实践”的路径逐步展开，通过理论学习、R语言实践和真实公共卫生数据分析相结合的方式，帮助学生建立从传统统计分析到现代人工智能与机器学习应用的系统知识体系。课程内容如下：</w:t>
      </w:r>
    </w:p>
    <w:p w14:paraId="34127BFE">
      <w:pPr>
        <w:pStyle w:val="12"/>
        <w:spacing w:before="0" w:line="288" w:lineRule="auto"/>
        <w:ind w:left="0" w:firstLine="0"/>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公共卫生数据分析所需的基本生物统计学概念和方法</w:t>
      </w:r>
    </w:p>
    <w:p w14:paraId="097441E0">
      <w:pPr>
        <w:pStyle w:val="12"/>
        <w:spacing w:before="0" w:line="288" w:lineRule="auto"/>
        <w:ind w:left="0" w:firstLine="0"/>
        <w:rPr>
          <w:rFonts w:asciiTheme="minorEastAsia" w:hAnsiTheme="minorEastAsia" w:eastAsiaTheme="minorEastAsia"/>
          <w:sz w:val="21"/>
          <w:szCs w:val="21"/>
        </w:rPr>
      </w:pPr>
      <w:r>
        <w:rPr>
          <w:rFonts w:asciiTheme="minorEastAsia" w:hAnsiTheme="minorEastAsia" w:eastAsiaTheme="minorEastAsia"/>
          <w:sz w:val="21"/>
          <w:szCs w:val="21"/>
        </w:rPr>
        <w:t>2. R/R</w:t>
      </w:r>
      <w:r>
        <w:rPr>
          <w:rFonts w:hint="eastAsia" w:asciiTheme="minorEastAsia" w:hAnsiTheme="minorEastAsia" w:eastAsiaTheme="minorEastAsia"/>
          <w:sz w:val="21"/>
          <w:szCs w:val="21"/>
        </w:rPr>
        <w:t xml:space="preserve"> </w:t>
      </w:r>
      <w:r>
        <w:rPr>
          <w:rFonts w:asciiTheme="minorEastAsia" w:hAnsiTheme="minorEastAsia" w:eastAsiaTheme="minorEastAsia"/>
          <w:sz w:val="21"/>
          <w:szCs w:val="21"/>
        </w:rPr>
        <w:t>Studio完成基础数据整理、统计分析和图形展示</w:t>
      </w:r>
    </w:p>
    <w:p w14:paraId="74E6FA72">
      <w:pPr>
        <w:pStyle w:val="12"/>
        <w:spacing w:before="0" w:line="288" w:lineRule="auto"/>
        <w:ind w:left="0" w:firstLine="0"/>
        <w:rPr>
          <w:rFonts w:asciiTheme="minorEastAsia" w:hAnsiTheme="minorEastAsia" w:eastAsiaTheme="minorEastAsia"/>
          <w:sz w:val="21"/>
          <w:szCs w:val="21"/>
        </w:rPr>
      </w:pPr>
      <w:r>
        <w:rPr>
          <w:rFonts w:hint="eastAsia" w:asciiTheme="minorEastAsia" w:hAnsiTheme="minorEastAsia" w:eastAsiaTheme="minorEastAsia"/>
          <w:sz w:val="21"/>
          <w:szCs w:val="21"/>
        </w:rPr>
        <w:t>3</w:t>
      </w:r>
      <w:r>
        <w:rPr>
          <w:rFonts w:asciiTheme="minorEastAsia" w:hAnsiTheme="minorEastAsia" w:eastAsiaTheme="minorEastAsia"/>
          <w:sz w:val="21"/>
          <w:szCs w:val="21"/>
        </w:rPr>
        <w:t>. 常见的统计推断、回归分析和生存分析方法</w:t>
      </w:r>
    </w:p>
    <w:p w14:paraId="4F4812F4">
      <w:pPr>
        <w:pStyle w:val="12"/>
        <w:spacing w:before="0" w:line="288" w:lineRule="auto"/>
        <w:ind w:left="0" w:firstLine="0"/>
        <w:rPr>
          <w:rFonts w:asciiTheme="minorEastAsia" w:hAnsiTheme="minorEastAsia" w:eastAsiaTheme="minorEastAsia"/>
          <w:sz w:val="21"/>
          <w:szCs w:val="21"/>
        </w:rPr>
      </w:pPr>
      <w:r>
        <w:rPr>
          <w:rFonts w:hint="eastAsia" w:asciiTheme="minorEastAsia" w:hAnsiTheme="minorEastAsia" w:eastAsiaTheme="minorEastAsia"/>
          <w:sz w:val="21"/>
          <w:szCs w:val="21"/>
        </w:rPr>
        <w:t>4. 医学</w:t>
      </w:r>
      <w:r>
        <w:rPr>
          <w:rFonts w:asciiTheme="minorEastAsia" w:hAnsiTheme="minorEastAsia" w:eastAsiaTheme="minorEastAsia"/>
          <w:sz w:val="21"/>
          <w:szCs w:val="21"/>
        </w:rPr>
        <w:t>研究论文评阅：</w:t>
      </w:r>
      <w:r>
        <w:rPr>
          <w:rFonts w:hint="eastAsia" w:asciiTheme="minorEastAsia" w:hAnsiTheme="minorEastAsia" w:eastAsiaTheme="minorEastAsia"/>
          <w:sz w:val="21"/>
          <w:szCs w:val="21"/>
        </w:rPr>
        <w:t>学术研究</w:t>
      </w:r>
      <w:r>
        <w:rPr>
          <w:rFonts w:asciiTheme="minorEastAsia" w:hAnsiTheme="minorEastAsia" w:eastAsiaTheme="minorEastAsia"/>
          <w:sz w:val="21"/>
          <w:szCs w:val="21"/>
        </w:rPr>
        <w:t>中的统计应用</w:t>
      </w:r>
    </w:p>
    <w:p w14:paraId="209B140A">
      <w:pPr>
        <w:pStyle w:val="12"/>
        <w:spacing w:before="0" w:line="288" w:lineRule="auto"/>
        <w:ind w:left="0" w:firstLine="0"/>
        <w:rPr>
          <w:rFonts w:asciiTheme="minorEastAsia" w:hAnsiTheme="minorEastAsia" w:eastAsiaTheme="minorEastAsia"/>
          <w:sz w:val="21"/>
          <w:szCs w:val="21"/>
        </w:rPr>
      </w:pPr>
      <w:r>
        <w:rPr>
          <w:rFonts w:hint="eastAsia" w:asciiTheme="minorEastAsia" w:hAnsiTheme="minorEastAsia" w:eastAsiaTheme="minorEastAsia"/>
          <w:sz w:val="21"/>
          <w:szCs w:val="21"/>
        </w:rPr>
        <w:t>5</w:t>
      </w:r>
      <w:r>
        <w:rPr>
          <w:rFonts w:asciiTheme="minorEastAsia" w:hAnsiTheme="minorEastAsia" w:eastAsiaTheme="minorEastAsia"/>
          <w:sz w:val="21"/>
          <w:szCs w:val="21"/>
        </w:rPr>
        <w:t>. 人工智能和机器学习基本概念及公共卫生应用</w:t>
      </w:r>
    </w:p>
    <w:p w14:paraId="637AB4FB">
      <w:pPr>
        <w:pStyle w:val="12"/>
        <w:spacing w:before="0" w:line="288" w:lineRule="auto"/>
        <w:ind w:left="0" w:firstLine="0"/>
        <w:rPr>
          <w:rFonts w:asciiTheme="minorEastAsia" w:hAnsiTheme="minorEastAsia" w:eastAsiaTheme="minorEastAsia"/>
          <w:sz w:val="21"/>
          <w:szCs w:val="21"/>
        </w:rPr>
      </w:pPr>
      <w:r>
        <w:rPr>
          <w:rFonts w:hint="eastAsia" w:asciiTheme="minorEastAsia" w:hAnsiTheme="minorEastAsia" w:eastAsiaTheme="minorEastAsia"/>
          <w:sz w:val="21"/>
          <w:szCs w:val="21"/>
        </w:rPr>
        <w:t>6</w:t>
      </w:r>
      <w:r>
        <w:rPr>
          <w:rFonts w:asciiTheme="minorEastAsia" w:hAnsiTheme="minorEastAsia" w:eastAsiaTheme="minorEastAsia"/>
          <w:sz w:val="21"/>
          <w:szCs w:val="21"/>
        </w:rPr>
        <w:t>. 监督式机器学习算法，并能够结合真实数据进行实践</w:t>
      </w:r>
    </w:p>
    <w:p w14:paraId="1F23B9C4">
      <w:pPr>
        <w:pStyle w:val="12"/>
        <w:spacing w:before="0" w:line="288" w:lineRule="auto"/>
        <w:ind w:left="0" w:firstLine="0"/>
        <w:rPr>
          <w:rFonts w:asciiTheme="minorEastAsia" w:hAnsiTheme="minorEastAsia" w:eastAsiaTheme="minorEastAsia"/>
          <w:sz w:val="21"/>
          <w:szCs w:val="21"/>
        </w:rPr>
      </w:pPr>
      <w:r>
        <w:rPr>
          <w:rFonts w:hint="eastAsia" w:asciiTheme="minorEastAsia" w:hAnsiTheme="minorEastAsia" w:eastAsiaTheme="minorEastAsia"/>
          <w:sz w:val="21"/>
          <w:szCs w:val="21"/>
        </w:rPr>
        <w:t>7</w:t>
      </w:r>
      <w:r>
        <w:rPr>
          <w:rFonts w:asciiTheme="minorEastAsia" w:hAnsiTheme="minorEastAsia" w:eastAsiaTheme="minorEastAsia"/>
          <w:sz w:val="21"/>
          <w:szCs w:val="21"/>
        </w:rPr>
        <w:t xml:space="preserve">. </w:t>
      </w:r>
      <w:r>
        <w:rPr>
          <w:rFonts w:hint="eastAsia" w:asciiTheme="minorEastAsia" w:hAnsiTheme="minorEastAsia" w:eastAsiaTheme="minorEastAsia"/>
          <w:sz w:val="21"/>
          <w:szCs w:val="21"/>
        </w:rPr>
        <w:t>学习</w:t>
      </w:r>
      <w:r>
        <w:rPr>
          <w:rFonts w:asciiTheme="minorEastAsia" w:hAnsiTheme="minorEastAsia" w:eastAsiaTheme="minorEastAsia"/>
          <w:sz w:val="21"/>
          <w:szCs w:val="21"/>
        </w:rPr>
        <w:t>可解释人工智能、特征重要性和SHAP值，并认识AI应用中的</w:t>
      </w:r>
      <w:r>
        <w:rPr>
          <w:rFonts w:hint="eastAsia" w:asciiTheme="minorEastAsia" w:hAnsiTheme="minorEastAsia" w:eastAsiaTheme="minorEastAsia"/>
          <w:sz w:val="21"/>
          <w:szCs w:val="21"/>
        </w:rPr>
        <w:t>医学</w:t>
      </w:r>
      <w:r>
        <w:rPr>
          <w:rFonts w:asciiTheme="minorEastAsia" w:hAnsiTheme="minorEastAsia" w:eastAsiaTheme="minorEastAsia"/>
          <w:sz w:val="21"/>
          <w:szCs w:val="21"/>
        </w:rPr>
        <w:t>伦理问题</w:t>
      </w:r>
    </w:p>
    <w:p w14:paraId="36F7C61A">
      <w:pPr>
        <w:spacing w:line="288" w:lineRule="auto"/>
        <w:rPr>
          <w:rFonts w:asciiTheme="minorEastAsia" w:hAnsiTheme="minorEastAsia" w:eastAsiaTheme="minorEastAsia"/>
          <w:sz w:val="21"/>
          <w:szCs w:val="21"/>
        </w:rPr>
      </w:pPr>
    </w:p>
    <w:p w14:paraId="494FC373">
      <w:pPr>
        <w:spacing w:line="288" w:lineRule="auto"/>
        <w:rPr>
          <w:rFonts w:asciiTheme="minorEastAsia" w:hAnsiTheme="minorEastAsia" w:eastAsiaTheme="minorEastAsia" w:cstheme="minorEastAsia"/>
          <w:b/>
          <w:bCs/>
          <w:color w:val="191919"/>
          <w:sz w:val="21"/>
          <w:szCs w:val="21"/>
          <w:shd w:val="clear" w:color="auto" w:fill="FFFFFF"/>
        </w:rPr>
      </w:pPr>
      <w:r>
        <w:rPr>
          <w:rFonts w:asciiTheme="minorEastAsia" w:hAnsiTheme="minorEastAsia" w:eastAsiaTheme="minorEastAsia" w:cstheme="minorEastAsia"/>
          <w:b/>
          <w:bCs/>
          <w:color w:val="191919"/>
          <w:sz w:val="21"/>
          <w:szCs w:val="21"/>
          <w:shd w:val="clear" w:color="auto" w:fill="FFFFFF"/>
        </w:rPr>
        <w:t>2</w:t>
      </w:r>
      <w:r>
        <w:rPr>
          <w:rFonts w:hint="eastAsia" w:asciiTheme="minorEastAsia" w:hAnsiTheme="minorEastAsia" w:eastAsiaTheme="minorEastAsia" w:cstheme="minorEastAsia"/>
          <w:b/>
          <w:bCs/>
          <w:color w:val="191919"/>
          <w:sz w:val="21"/>
          <w:szCs w:val="21"/>
          <w:shd w:val="clear" w:color="auto" w:fill="FFFFFF"/>
        </w:rPr>
        <w:t>.自由课外文化活动</w:t>
      </w:r>
    </w:p>
    <w:p w14:paraId="7CFC0653">
      <w:pPr>
        <w:spacing w:line="288" w:lineRule="auto"/>
        <w:rPr>
          <w:rFonts w:asciiTheme="minorEastAsia" w:hAnsiTheme="minorEastAsia" w:eastAsiaTheme="minorEastAsia" w:cstheme="minorEastAsia"/>
          <w:b/>
          <w:bCs/>
          <w:color w:val="191919"/>
          <w:sz w:val="21"/>
          <w:szCs w:val="21"/>
          <w:shd w:val="clear" w:color="auto" w:fill="FFFFFF"/>
        </w:rPr>
      </w:pPr>
      <w:r>
        <w:rPr>
          <w:rFonts w:hint="eastAsia" w:asciiTheme="minorEastAsia" w:hAnsiTheme="minorEastAsia" w:eastAsiaTheme="minorEastAsia" w:cstheme="minorEastAsia"/>
          <w:color w:val="191919"/>
          <w:sz w:val="21"/>
          <w:szCs w:val="21"/>
          <w:shd w:val="clear" w:color="auto" w:fill="FFFFFF"/>
        </w:rPr>
        <w:t>学生可以利用周末时间自由探索伦敦。在这里，可以体验到一场流动的文化盛宴：大英博物馆的世界级珍品免费探究；伦敦西区剧院舞台的匠心独运尽情体验；漫步在泰晤士河岸，远望伦敦塔桥、伦敦眼、大本钟……将英伦美景尽收眼底。</w:t>
      </w:r>
    </w:p>
    <w:p w14:paraId="3F1984CE">
      <w:pPr>
        <w:spacing w:line="288" w:lineRule="auto"/>
        <w:rPr>
          <w:rFonts w:asciiTheme="minorEastAsia" w:hAnsiTheme="minorEastAsia" w:eastAsiaTheme="minorEastAsia"/>
          <w:sz w:val="21"/>
          <w:szCs w:val="21"/>
        </w:rPr>
      </w:pPr>
    </w:p>
    <w:p w14:paraId="4B37DD44">
      <w:pPr>
        <w:spacing w:line="288" w:lineRule="auto"/>
        <w:rPr>
          <w:rFonts w:asciiTheme="minorEastAsia" w:hAnsiTheme="minorEastAsia" w:eastAsiaTheme="minorEastAsia"/>
          <w:b/>
          <w:sz w:val="21"/>
          <w:szCs w:val="21"/>
        </w:rPr>
      </w:pPr>
      <w:r>
        <w:rPr>
          <w:rFonts w:asciiTheme="minorEastAsia" w:hAnsiTheme="minorEastAsia" w:eastAsiaTheme="minorEastAsia"/>
          <w:b/>
          <w:sz w:val="21"/>
          <w:szCs w:val="21"/>
        </w:rPr>
        <w:t>三、</w:t>
      </w:r>
      <w:r>
        <w:rPr>
          <w:rFonts w:hint="eastAsia" w:asciiTheme="minorEastAsia" w:hAnsiTheme="minorEastAsia" w:eastAsiaTheme="minorEastAsia"/>
          <w:b/>
          <w:sz w:val="21"/>
          <w:szCs w:val="21"/>
        </w:rPr>
        <w:t>项目优势</w:t>
      </w:r>
    </w:p>
    <w:p w14:paraId="561A37BF">
      <w:pPr>
        <w:pStyle w:val="12"/>
        <w:widowControl/>
        <w:numPr>
          <w:ilvl w:val="0"/>
          <w:numId w:val="1"/>
        </w:numPr>
        <w:autoSpaceDE/>
        <w:autoSpaceDN/>
        <w:spacing w:before="0" w:line="288" w:lineRule="auto"/>
        <w:ind w:left="422" w:hanging="422" w:hangingChars="200"/>
        <w:rPr>
          <w:rFonts w:asciiTheme="minorEastAsia" w:hAnsiTheme="minorEastAsia" w:eastAsiaTheme="minorEastAsia"/>
          <w:sz w:val="21"/>
          <w:szCs w:val="21"/>
        </w:rPr>
      </w:pPr>
      <w:r>
        <w:rPr>
          <w:rFonts w:hint="eastAsia" w:asciiTheme="minorEastAsia" w:hAnsiTheme="minorEastAsia" w:eastAsiaTheme="minorEastAsia"/>
          <w:b/>
          <w:bCs/>
          <w:sz w:val="21"/>
          <w:szCs w:val="21"/>
        </w:rPr>
        <w:t>顶尖学府：</w:t>
      </w:r>
      <w:r>
        <w:rPr>
          <w:rFonts w:hint="eastAsia" w:asciiTheme="minorEastAsia" w:hAnsiTheme="minorEastAsia" w:eastAsiaTheme="minorEastAsia"/>
          <w:sz w:val="21"/>
          <w:szCs w:val="21"/>
        </w:rPr>
        <w:t>伦敦大学学院是G5超级精英大学之一，2027年QS世界大学排名第8；</w:t>
      </w:r>
    </w:p>
    <w:p w14:paraId="0AF8C46C">
      <w:pPr>
        <w:pStyle w:val="12"/>
        <w:widowControl/>
        <w:numPr>
          <w:ilvl w:val="0"/>
          <w:numId w:val="1"/>
        </w:numPr>
        <w:autoSpaceDE/>
        <w:autoSpaceDN/>
        <w:spacing w:before="0" w:line="288" w:lineRule="auto"/>
        <w:ind w:left="422" w:hanging="422" w:hangingChars="200"/>
        <w:rPr>
          <w:rFonts w:asciiTheme="minorEastAsia" w:hAnsiTheme="minorEastAsia" w:eastAsiaTheme="minorEastAsia" w:cstheme="minorEastAsia"/>
          <w:sz w:val="21"/>
          <w:szCs w:val="21"/>
        </w:rPr>
      </w:pPr>
      <w:r>
        <w:rPr>
          <w:rFonts w:asciiTheme="minorEastAsia" w:hAnsiTheme="minorEastAsia" w:eastAsiaTheme="minorEastAsia"/>
          <w:b/>
          <w:bCs/>
          <w:sz w:val="21"/>
          <w:szCs w:val="21"/>
        </w:rPr>
        <w:t>系统性：</w:t>
      </w:r>
      <w:r>
        <w:rPr>
          <w:rFonts w:asciiTheme="minorEastAsia" w:hAnsiTheme="minorEastAsia" w:eastAsiaTheme="minorEastAsia"/>
          <w:sz w:val="21"/>
          <w:szCs w:val="21"/>
        </w:rPr>
        <w:t>课程由生物统计学基础逐步过渡到统计推断、回归与生存分析，再拓展至人工智能和机器学习</w:t>
      </w:r>
      <w:r>
        <w:rPr>
          <w:rFonts w:hint="eastAsia" w:asciiTheme="minorEastAsia" w:hAnsiTheme="minorEastAsia" w:eastAsiaTheme="minorEastAsia"/>
          <w:sz w:val="21"/>
          <w:szCs w:val="21"/>
        </w:rPr>
        <w:t>在医学中的应用</w:t>
      </w:r>
      <w:r>
        <w:rPr>
          <w:rFonts w:asciiTheme="minorEastAsia" w:hAnsiTheme="minorEastAsia" w:eastAsiaTheme="minorEastAsia"/>
          <w:sz w:val="21"/>
          <w:szCs w:val="21"/>
        </w:rPr>
        <w:t>，形成完整知识链条</w:t>
      </w:r>
      <w:r>
        <w:rPr>
          <w:rFonts w:hint="eastAsia" w:asciiTheme="minorEastAsia" w:hAnsiTheme="minorEastAsia" w:eastAsiaTheme="minorEastAsia"/>
          <w:sz w:val="21"/>
          <w:szCs w:val="21"/>
        </w:rPr>
        <w:t>；</w:t>
      </w:r>
    </w:p>
    <w:p w14:paraId="0A505A52">
      <w:pPr>
        <w:pStyle w:val="12"/>
        <w:widowControl/>
        <w:numPr>
          <w:ilvl w:val="0"/>
          <w:numId w:val="1"/>
        </w:numPr>
        <w:autoSpaceDE/>
        <w:autoSpaceDN/>
        <w:spacing w:before="0" w:line="288" w:lineRule="auto"/>
        <w:ind w:left="422" w:hanging="422" w:hangingChars="200"/>
        <w:rPr>
          <w:rFonts w:asciiTheme="minorEastAsia" w:hAnsiTheme="minorEastAsia" w:eastAsiaTheme="minorEastAsia" w:cstheme="minorEastAsia"/>
          <w:sz w:val="21"/>
          <w:szCs w:val="21"/>
        </w:rPr>
      </w:pPr>
      <w:r>
        <w:rPr>
          <w:rFonts w:asciiTheme="minorEastAsia" w:hAnsiTheme="minorEastAsia" w:eastAsiaTheme="minorEastAsia"/>
          <w:b/>
          <w:bCs/>
          <w:sz w:val="21"/>
          <w:szCs w:val="21"/>
        </w:rPr>
        <w:t>理论与实践结合：</w:t>
      </w:r>
      <w:r>
        <w:rPr>
          <w:rFonts w:asciiTheme="minorEastAsia" w:hAnsiTheme="minorEastAsia" w:eastAsiaTheme="minorEastAsia"/>
          <w:sz w:val="21"/>
          <w:szCs w:val="21"/>
        </w:rPr>
        <w:t>每个学习阶段均配合R/R</w:t>
      </w:r>
      <w:r>
        <w:rPr>
          <w:rFonts w:hint="eastAsia" w:asciiTheme="minorEastAsia" w:hAnsiTheme="minorEastAsia" w:eastAsiaTheme="minorEastAsia"/>
          <w:sz w:val="21"/>
          <w:szCs w:val="21"/>
        </w:rPr>
        <w:t xml:space="preserve"> </w:t>
      </w:r>
      <w:r>
        <w:rPr>
          <w:rFonts w:asciiTheme="minorEastAsia" w:hAnsiTheme="minorEastAsia" w:eastAsiaTheme="minorEastAsia"/>
          <w:sz w:val="21"/>
          <w:szCs w:val="21"/>
        </w:rPr>
        <w:t>Studio实践，针对真实公共卫生数据开展分析，强化可重复分析能力。并结合公共卫生场景理解AI的实际应用</w:t>
      </w:r>
      <w:r>
        <w:rPr>
          <w:rFonts w:hint="eastAsia" w:asciiTheme="minorEastAsia" w:hAnsiTheme="minorEastAsia" w:eastAsiaTheme="minorEastAsia"/>
          <w:sz w:val="21"/>
          <w:szCs w:val="21"/>
        </w:rPr>
        <w:t>，</w:t>
      </w:r>
      <w:r>
        <w:rPr>
          <w:rFonts w:asciiTheme="minorEastAsia" w:hAnsiTheme="minorEastAsia" w:eastAsiaTheme="minorEastAsia"/>
          <w:sz w:val="21"/>
          <w:szCs w:val="21"/>
        </w:rPr>
        <w:t>课程最后安排小组展示，以真实公共卫生数据为基础，体现生物统计建模方法的综合应用</w:t>
      </w:r>
      <w:r>
        <w:rPr>
          <w:rFonts w:hint="eastAsia" w:asciiTheme="minorEastAsia" w:hAnsiTheme="minorEastAsia" w:eastAsiaTheme="minorEastAsia"/>
          <w:sz w:val="21"/>
          <w:szCs w:val="21"/>
        </w:rPr>
        <w:t>；</w:t>
      </w:r>
    </w:p>
    <w:p w14:paraId="2E24A452">
      <w:pPr>
        <w:pStyle w:val="12"/>
        <w:widowControl/>
        <w:numPr>
          <w:ilvl w:val="0"/>
          <w:numId w:val="1"/>
        </w:numPr>
        <w:autoSpaceDE/>
        <w:autoSpaceDN/>
        <w:spacing w:before="0" w:line="288" w:lineRule="auto"/>
        <w:ind w:left="422" w:hanging="422" w:hangingChars="200"/>
        <w:rPr>
          <w:rFonts w:asciiTheme="minorEastAsia" w:hAnsiTheme="minorEastAsia" w:eastAsiaTheme="minorEastAsia" w:cstheme="minorEastAsia"/>
          <w:sz w:val="21"/>
          <w:szCs w:val="21"/>
        </w:rPr>
      </w:pPr>
      <w:r>
        <w:rPr>
          <w:rFonts w:asciiTheme="minorEastAsia" w:hAnsiTheme="minorEastAsia" w:eastAsiaTheme="minorEastAsia"/>
          <w:b/>
          <w:bCs/>
          <w:sz w:val="21"/>
          <w:szCs w:val="21"/>
        </w:rPr>
        <w:t>AI与机器学习应用：</w:t>
      </w:r>
      <w:r>
        <w:rPr>
          <w:rFonts w:asciiTheme="minorEastAsia" w:hAnsiTheme="minorEastAsia" w:eastAsiaTheme="minorEastAsia"/>
          <w:sz w:val="21"/>
          <w:szCs w:val="21"/>
        </w:rPr>
        <w:t>介绍机器学习类型及监督式学习算法，强调模型解释与伦理：学习特征重要性、SHAP值及人工智能伦理，理解模型结果并关注实际应用中的规范性问题</w:t>
      </w:r>
      <w:r>
        <w:rPr>
          <w:rFonts w:hint="eastAsia" w:asciiTheme="minorEastAsia" w:hAnsiTheme="minorEastAsia" w:eastAsiaTheme="minorEastAsia"/>
          <w:sz w:val="21"/>
          <w:szCs w:val="21"/>
        </w:rPr>
        <w:t>；</w:t>
      </w:r>
    </w:p>
    <w:p w14:paraId="2AC9F6F9">
      <w:pPr>
        <w:pStyle w:val="2"/>
        <w:numPr>
          <w:ilvl w:val="0"/>
          <w:numId w:val="1"/>
        </w:numPr>
        <w:spacing w:before="0" w:line="288" w:lineRule="auto"/>
        <w:ind w:left="422" w:hanging="422" w:hangingChars="200"/>
        <w:rPr>
          <w:rFonts w:asciiTheme="minorEastAsia" w:hAnsiTheme="minorEastAsia" w:eastAsiaTheme="minorEastAsia" w:cstheme="minorEastAsia"/>
          <w:spacing w:val="0"/>
        </w:rPr>
      </w:pPr>
      <w:r>
        <w:rPr>
          <w:rFonts w:hint="eastAsia" w:asciiTheme="minorEastAsia" w:hAnsiTheme="minorEastAsia" w:eastAsiaTheme="minorEastAsia" w:cstheme="minorEastAsia"/>
          <w:b/>
          <w:bCs/>
          <w:spacing w:val="0"/>
        </w:rPr>
        <w:t>绝佳学习地点：</w:t>
      </w:r>
      <w:r>
        <w:rPr>
          <w:rFonts w:hint="eastAsia" w:asciiTheme="minorEastAsia" w:hAnsiTheme="minorEastAsia" w:eastAsiaTheme="minorEastAsia" w:cstheme="minorEastAsia"/>
          <w:spacing w:val="0"/>
        </w:rPr>
        <w:t>伦敦大学学院坐落于世界之都伦敦的市中心，作为金融、文化、历史、国际化的集合地，在这里，学生能够体验到伦敦的都市魅力和世界级名校的学习氛围；</w:t>
      </w:r>
    </w:p>
    <w:p w14:paraId="045CB6B1">
      <w:pPr>
        <w:pStyle w:val="2"/>
        <w:numPr>
          <w:ilvl w:val="0"/>
          <w:numId w:val="1"/>
        </w:numPr>
        <w:spacing w:before="0" w:line="288" w:lineRule="auto"/>
        <w:ind w:left="422" w:hanging="422" w:hangingChars="200"/>
        <w:rPr>
          <w:rFonts w:asciiTheme="minorEastAsia" w:hAnsiTheme="minorEastAsia" w:eastAsiaTheme="minorEastAsia" w:cstheme="minorEastAsia"/>
          <w:spacing w:val="0"/>
        </w:rPr>
      </w:pPr>
      <w:r>
        <w:rPr>
          <w:rFonts w:hint="eastAsia" w:asciiTheme="minorEastAsia" w:hAnsiTheme="minorEastAsia" w:eastAsiaTheme="minorEastAsia" w:cstheme="minorEastAsia"/>
          <w:b/>
          <w:bCs/>
          <w:spacing w:val="0"/>
        </w:rPr>
        <w:t>互动课堂：</w:t>
      </w:r>
      <w:r>
        <w:rPr>
          <w:rFonts w:hint="eastAsia" w:asciiTheme="minorEastAsia" w:hAnsiTheme="minorEastAsia" w:eastAsiaTheme="minorEastAsia" w:cstheme="minorEastAsia"/>
          <w:spacing w:val="0"/>
        </w:rPr>
        <w:t>课堂上，由授课老师答疑解惑并引导学生进行观点讨论，助教老师辅导学生解决课堂难题。所有同学都将参与到课堂互动当中，在实践中提升综合能力；</w:t>
      </w:r>
    </w:p>
    <w:p w14:paraId="15F8B26C">
      <w:pPr>
        <w:pStyle w:val="12"/>
        <w:widowControl/>
        <w:numPr>
          <w:ilvl w:val="0"/>
          <w:numId w:val="1"/>
        </w:numPr>
        <w:autoSpaceDE/>
        <w:autoSpaceDN/>
        <w:spacing w:before="0" w:line="288" w:lineRule="auto"/>
        <w:ind w:left="422" w:hanging="422" w:hanging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城市魅力：</w:t>
      </w:r>
      <w:r>
        <w:rPr>
          <w:rFonts w:hint="eastAsia" w:asciiTheme="minorEastAsia" w:hAnsiTheme="minorEastAsia" w:eastAsiaTheme="minorEastAsia" w:cstheme="minorEastAsia"/>
          <w:sz w:val="21"/>
          <w:szCs w:val="21"/>
        </w:rPr>
        <w:t>课余时间，学生自由安排游览参观伦敦的名胜古迹，如：大英博物馆、国家美术博物馆、白金汉宫、格林威治公园、伦敦塔桥、自然历史博物馆、伦敦西区、电影哈利波特拍摄地点等著名景点，增加阅历；</w:t>
      </w:r>
    </w:p>
    <w:p w14:paraId="6DDA077F">
      <w:pPr>
        <w:pStyle w:val="2"/>
        <w:numPr>
          <w:ilvl w:val="0"/>
          <w:numId w:val="1"/>
        </w:numPr>
        <w:spacing w:before="0" w:line="288" w:lineRule="auto"/>
        <w:ind w:left="422" w:hanging="422" w:hangingChars="200"/>
        <w:rPr>
          <w:rFonts w:asciiTheme="minorEastAsia" w:hAnsiTheme="minorEastAsia" w:eastAsiaTheme="minorEastAsia" w:cstheme="minorEastAsia"/>
          <w:spacing w:val="0"/>
        </w:rPr>
      </w:pPr>
      <w:r>
        <w:rPr>
          <w:rFonts w:hint="eastAsia" w:asciiTheme="minorEastAsia" w:hAnsiTheme="minorEastAsia" w:eastAsiaTheme="minorEastAsia" w:cstheme="minorEastAsia"/>
          <w:b/>
          <w:bCs/>
          <w:spacing w:val="0"/>
        </w:rPr>
        <w:t>项目管理：</w:t>
      </w:r>
      <w:r>
        <w:rPr>
          <w:rFonts w:hint="eastAsia" w:asciiTheme="minorEastAsia" w:hAnsiTheme="minorEastAsia" w:eastAsiaTheme="minorEastAsia" w:cstheme="minorEastAsia"/>
          <w:spacing w:val="0"/>
        </w:rPr>
        <w:t>将有丰富经验的领队在海外期间管理，学生专注专业学习和文化体验。</w:t>
      </w:r>
    </w:p>
    <w:p w14:paraId="5B7D2CC9">
      <w:pPr>
        <w:pStyle w:val="2"/>
        <w:spacing w:before="0" w:line="288" w:lineRule="auto"/>
        <w:ind w:left="0"/>
        <w:rPr>
          <w:rFonts w:asciiTheme="minorEastAsia" w:hAnsiTheme="minorEastAsia" w:eastAsiaTheme="minorEastAsia" w:cstheme="minorEastAsia"/>
          <w:spacing w:val="0"/>
        </w:rPr>
      </w:pPr>
    </w:p>
    <w:p w14:paraId="40FA62D1">
      <w:pPr>
        <w:pStyle w:val="2"/>
        <w:spacing w:before="0" w:line="288" w:lineRule="auto"/>
        <w:ind w:left="0"/>
        <w:rPr>
          <w:rFonts w:asciiTheme="minorEastAsia" w:hAnsiTheme="minorEastAsia" w:eastAsiaTheme="minorEastAsia" w:cstheme="minorEastAsia"/>
          <w:bCs/>
          <w:spacing w:val="0"/>
        </w:rPr>
      </w:pPr>
      <w:r>
        <w:rPr>
          <w:rFonts w:hint="eastAsia" w:asciiTheme="minorEastAsia" w:hAnsiTheme="minorEastAsia" w:eastAsiaTheme="minorEastAsia" w:cstheme="minorEastAsia"/>
          <w:b/>
          <w:spacing w:val="0"/>
        </w:rPr>
        <w:t>四、项目信息</w:t>
      </w:r>
    </w:p>
    <w:p w14:paraId="3827A56C">
      <w:pPr>
        <w:widowControl w:val="0"/>
        <w:tabs>
          <w:tab w:val="left" w:pos="561"/>
        </w:tabs>
        <w:autoSpaceDE w:val="0"/>
        <w:autoSpaceDN w:val="0"/>
        <w:spacing w:line="288" w:lineRule="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项目时间：</w:t>
      </w:r>
      <w:r>
        <w:rPr>
          <w:rFonts w:hint="eastAsia" w:asciiTheme="minorEastAsia" w:hAnsiTheme="minorEastAsia" w:eastAsiaTheme="minorEastAsia" w:cstheme="minorEastAsia"/>
          <w:b w:val="0"/>
          <w:bCs/>
          <w:sz w:val="21"/>
          <w:szCs w:val="21"/>
        </w:rPr>
        <w:t>1月24日-2月4日（含往返）</w:t>
      </w:r>
    </w:p>
    <w:p w14:paraId="2685CD7A">
      <w:pPr>
        <w:widowControl w:val="0"/>
        <w:tabs>
          <w:tab w:val="left" w:pos="561"/>
        </w:tabs>
        <w:autoSpaceDE w:val="0"/>
        <w:autoSpaceDN w:val="0"/>
        <w:spacing w:line="288" w:lineRule="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sz w:val="21"/>
          <w:szCs w:val="21"/>
        </w:rPr>
        <w:t>项目收获：</w:t>
      </w:r>
      <w:r>
        <w:rPr>
          <w:rFonts w:hint="eastAsia" w:asciiTheme="minorEastAsia" w:hAnsiTheme="minorEastAsia" w:eastAsiaTheme="minorEastAsia" w:cstheme="minorEastAsia"/>
          <w:b w:val="0"/>
          <w:bCs/>
          <w:sz w:val="21"/>
          <w:szCs w:val="21"/>
        </w:rPr>
        <w:t>官方证书</w:t>
      </w:r>
    </w:p>
    <w:p w14:paraId="5568270C">
      <w:pPr>
        <w:widowControl w:val="0"/>
        <w:tabs>
          <w:tab w:val="left" w:pos="561"/>
        </w:tabs>
        <w:autoSpaceDE w:val="0"/>
        <w:autoSpaceDN w:val="0"/>
        <w:spacing w:line="288" w:lineRule="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sz w:val="21"/>
          <w:szCs w:val="21"/>
        </w:rPr>
        <w:t>课程学时</w:t>
      </w:r>
      <w:r>
        <w:rPr>
          <w:rFonts w:hint="eastAsia" w:asciiTheme="minorEastAsia" w:hAnsiTheme="minorEastAsia" w:eastAsiaTheme="minorEastAsia" w:cstheme="minorEastAsia"/>
          <w:b w:val="0"/>
          <w:bCs/>
          <w:sz w:val="21"/>
          <w:szCs w:val="21"/>
        </w:rPr>
        <w:t>：28小时</w:t>
      </w:r>
    </w:p>
    <w:p w14:paraId="3C53E8F3">
      <w:pPr>
        <w:widowControl w:val="0"/>
        <w:tabs>
          <w:tab w:val="left" w:pos="561"/>
        </w:tabs>
        <w:autoSpaceDE w:val="0"/>
        <w:autoSpaceDN w:val="0"/>
        <w:spacing w:line="288" w:lineRule="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选拔人数：</w:t>
      </w:r>
      <w:r>
        <w:rPr>
          <w:rFonts w:hint="eastAsia" w:asciiTheme="minorEastAsia" w:hAnsiTheme="minorEastAsia" w:eastAsiaTheme="minorEastAsia" w:cstheme="minorEastAsia"/>
          <w:b w:val="0"/>
          <w:bCs/>
          <w:sz w:val="21"/>
          <w:szCs w:val="21"/>
        </w:rPr>
        <w:t>25-40人（25人</w:t>
      </w:r>
      <w:r>
        <w:rPr>
          <w:rFonts w:hint="eastAsia" w:asciiTheme="minorEastAsia" w:hAnsiTheme="minorEastAsia" w:eastAsiaTheme="minorEastAsia" w:cstheme="minorEastAsia"/>
          <w:b w:val="0"/>
          <w:bCs/>
          <w:sz w:val="21"/>
          <w:szCs w:val="21"/>
          <w:lang w:val="en-US" w:eastAsia="zh-CN"/>
        </w:rPr>
        <w:t>开班</w:t>
      </w:r>
      <w:r>
        <w:rPr>
          <w:rFonts w:hint="eastAsia" w:asciiTheme="minorEastAsia" w:hAnsiTheme="minorEastAsia" w:eastAsiaTheme="minorEastAsia" w:cstheme="minorEastAsia"/>
          <w:b w:val="0"/>
          <w:bCs/>
          <w:sz w:val="21"/>
          <w:szCs w:val="21"/>
        </w:rPr>
        <w:t>）</w:t>
      </w:r>
    </w:p>
    <w:p w14:paraId="3547D479">
      <w:pPr>
        <w:widowControl w:val="0"/>
        <w:tabs>
          <w:tab w:val="left" w:pos="561"/>
        </w:tabs>
        <w:autoSpaceDE w:val="0"/>
        <w:autoSpaceDN w:val="0"/>
        <w:spacing w:line="288" w:lineRule="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sz w:val="21"/>
          <w:szCs w:val="21"/>
        </w:rPr>
        <w:t>费用预估：</w:t>
      </w:r>
      <w:r>
        <w:rPr>
          <w:rFonts w:hint="eastAsia" w:asciiTheme="minorEastAsia" w:hAnsiTheme="minorEastAsia" w:eastAsiaTheme="minorEastAsia" w:cstheme="minorEastAsia"/>
          <w:b w:val="0"/>
          <w:bCs/>
          <w:sz w:val="21"/>
          <w:szCs w:val="21"/>
        </w:rPr>
        <w:t>2000英镑（约1.8万元，汇率9，缴纳时以银行当天外币汇率为准）</w:t>
      </w:r>
    </w:p>
    <w:p w14:paraId="2AC847F5">
      <w:pPr>
        <w:widowControl w:val="0"/>
        <w:tabs>
          <w:tab w:val="left" w:pos="561"/>
        </w:tabs>
        <w:autoSpaceDE w:val="0"/>
        <w:autoSpaceDN w:val="0"/>
        <w:spacing w:line="288" w:lineRule="auto"/>
        <w:rPr>
          <w:rFonts w:hint="eastAsia" w:asciiTheme="minorEastAsia" w:hAnsiTheme="minorEastAsia" w:eastAsiaTheme="minorEastAsia" w:cstheme="minorEastAsia"/>
          <w:b w:val="0"/>
          <w:bCs/>
          <w:sz w:val="21"/>
          <w:szCs w:val="21"/>
        </w:rPr>
      </w:pPr>
      <w:bookmarkStart w:id="0" w:name="OLE_LINK2"/>
      <w:r>
        <w:rPr>
          <w:rFonts w:hint="eastAsia" w:asciiTheme="minorEastAsia" w:hAnsiTheme="minorEastAsia" w:eastAsiaTheme="minorEastAsia" w:cstheme="minorEastAsia"/>
          <w:b/>
          <w:sz w:val="21"/>
          <w:szCs w:val="21"/>
        </w:rPr>
        <w:t>该费用包含：</w:t>
      </w:r>
      <w:r>
        <w:rPr>
          <w:rFonts w:hint="eastAsia" w:asciiTheme="minorEastAsia" w:hAnsiTheme="minorEastAsia" w:eastAsiaTheme="minorEastAsia" w:cstheme="minorEastAsia"/>
          <w:b w:val="0"/>
          <w:bCs/>
          <w:sz w:val="21"/>
          <w:szCs w:val="21"/>
        </w:rPr>
        <w:t>学费、授课期间茶歇费用、项目管理费；</w:t>
      </w:r>
    </w:p>
    <w:p w14:paraId="3B2308C3">
      <w:pPr>
        <w:widowControl w:val="0"/>
        <w:tabs>
          <w:tab w:val="left" w:pos="561"/>
        </w:tabs>
        <w:autoSpaceDE w:val="0"/>
        <w:autoSpaceDN w:val="0"/>
        <w:spacing w:line="288" w:lineRule="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sz w:val="21"/>
          <w:szCs w:val="21"/>
        </w:rPr>
        <w:t>不包含：签证费以及签证服务费、其余餐费、往返机票费、保险费、住宿费预估约800-900英镑（预估费用，实际房费根据当时酒店价格为准）。</w:t>
      </w:r>
    </w:p>
    <w:bookmarkEnd w:id="0"/>
    <w:p w14:paraId="2863D1F2">
      <w:pPr>
        <w:widowControl w:val="0"/>
        <w:tabs>
          <w:tab w:val="left" w:pos="561"/>
        </w:tabs>
        <w:autoSpaceDE w:val="0"/>
        <w:autoSpaceDN w:val="0"/>
        <w:spacing w:line="288" w:lineRule="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sz w:val="21"/>
          <w:szCs w:val="21"/>
        </w:rPr>
        <w:t>*海外院校拥有费用解释权和变动权</w:t>
      </w:r>
    </w:p>
    <w:p w14:paraId="48B0EC7C">
      <w:pPr>
        <w:widowControl w:val="0"/>
        <w:tabs>
          <w:tab w:val="left" w:pos="561"/>
        </w:tabs>
        <w:autoSpaceDE w:val="0"/>
        <w:autoSpaceDN w:val="0"/>
        <w:spacing w:line="288" w:lineRule="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奖学金：</w:t>
      </w:r>
      <w:r>
        <w:rPr>
          <w:rFonts w:hint="eastAsia" w:asciiTheme="minorEastAsia" w:hAnsiTheme="minorEastAsia" w:eastAsiaTheme="minorEastAsia" w:cstheme="minorEastAsia"/>
          <w:b w:val="0"/>
          <w:bCs/>
          <w:sz w:val="21"/>
          <w:szCs w:val="21"/>
        </w:rPr>
        <w:t>有机会获得200-2000元项目大使奖学金（详情咨询项目负责老师）</w:t>
      </w:r>
    </w:p>
    <w:p w14:paraId="24BC6BB1">
      <w:pPr>
        <w:tabs>
          <w:tab w:val="left" w:pos="562"/>
        </w:tabs>
        <w:spacing w:line="288" w:lineRule="auto"/>
        <w:rPr>
          <w:rFonts w:asciiTheme="minorEastAsia" w:hAnsiTheme="minorEastAsia" w:eastAsiaTheme="minorEastAsia" w:cstheme="minorEastAsia"/>
          <w:sz w:val="21"/>
          <w:szCs w:val="21"/>
        </w:rPr>
      </w:pPr>
    </w:p>
    <w:p w14:paraId="64135E86">
      <w:pPr>
        <w:pStyle w:val="2"/>
        <w:spacing w:before="0" w:line="288" w:lineRule="auto"/>
        <w:ind w:left="0"/>
        <w:rPr>
          <w:rFonts w:asciiTheme="minorEastAsia" w:hAnsiTheme="minorEastAsia" w:eastAsiaTheme="minorEastAsia" w:cstheme="minorEastAsia"/>
          <w:b/>
          <w:spacing w:val="0"/>
        </w:rPr>
      </w:pPr>
      <w:r>
        <w:rPr>
          <w:rFonts w:hint="eastAsia" w:asciiTheme="minorEastAsia" w:hAnsiTheme="minorEastAsia" w:eastAsiaTheme="minorEastAsia" w:cstheme="minorEastAsia"/>
          <w:b/>
          <w:spacing w:val="0"/>
        </w:rPr>
        <w:t>五、项目报名</w:t>
      </w:r>
    </w:p>
    <w:p w14:paraId="13B4A261">
      <w:pPr>
        <w:widowControl w:val="0"/>
        <w:tabs>
          <w:tab w:val="left" w:pos="561"/>
        </w:tabs>
        <w:autoSpaceDE w:val="0"/>
        <w:autoSpaceDN w:val="0"/>
        <w:spacing w:line="288" w:lineRule="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bCs w:val="0"/>
          <w:sz w:val="21"/>
          <w:szCs w:val="21"/>
          <w:lang w:val="en-US" w:eastAsia="zh-CN"/>
        </w:rPr>
        <w:t>报名</w:t>
      </w:r>
      <w:r>
        <w:rPr>
          <w:rFonts w:hint="eastAsia" w:asciiTheme="minorEastAsia" w:hAnsiTheme="minorEastAsia" w:eastAsiaTheme="minorEastAsia" w:cstheme="minorEastAsia"/>
          <w:b/>
          <w:bCs w:val="0"/>
          <w:sz w:val="21"/>
          <w:szCs w:val="21"/>
        </w:rPr>
        <w:t>条件：</w:t>
      </w:r>
      <w:r>
        <w:rPr>
          <w:rFonts w:hint="eastAsia" w:asciiTheme="minorEastAsia" w:hAnsiTheme="minorEastAsia" w:eastAsiaTheme="minorEastAsia" w:cstheme="minorEastAsia"/>
          <w:b w:val="0"/>
          <w:bCs/>
          <w:sz w:val="21"/>
          <w:szCs w:val="21"/>
        </w:rPr>
        <w:t>英语最低要求（满足一项即可）：雅思不低于5.5（或同等水平）、四级435、六级425、高考英语成绩115；无以上语言成绩者可联系项目负责老师咨询申请资格（申请人数多，签证慢，无护照者在报名时需尽快着手准备护照）</w:t>
      </w:r>
    </w:p>
    <w:p w14:paraId="4DA9DD39">
      <w:pPr>
        <w:widowControl w:val="0"/>
        <w:tabs>
          <w:tab w:val="left" w:pos="561"/>
        </w:tabs>
        <w:autoSpaceDE w:val="0"/>
        <w:autoSpaceDN w:val="0"/>
        <w:spacing w:line="288" w:lineRule="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bCs w:val="0"/>
          <w:sz w:val="21"/>
          <w:szCs w:val="21"/>
        </w:rPr>
        <w:t>申请截止</w:t>
      </w:r>
      <w:r>
        <w:rPr>
          <w:rFonts w:hint="eastAsia" w:asciiTheme="minorEastAsia" w:hAnsiTheme="minorEastAsia" w:eastAsiaTheme="minorEastAsia" w:cstheme="minorEastAsia"/>
          <w:b/>
          <w:bCs w:val="0"/>
          <w:sz w:val="21"/>
          <w:szCs w:val="21"/>
          <w:lang w:val="en-US" w:eastAsia="zh-CN"/>
        </w:rPr>
        <w:t>日期</w:t>
      </w:r>
      <w:r>
        <w:rPr>
          <w:rFonts w:hint="eastAsia" w:asciiTheme="minorEastAsia" w:hAnsiTheme="minorEastAsia" w:eastAsiaTheme="minorEastAsia" w:cstheme="minorEastAsia"/>
          <w:b w:val="0"/>
          <w:bCs/>
          <w:sz w:val="21"/>
          <w:szCs w:val="21"/>
        </w:rPr>
        <w:t>：11月10日（尽早申请，名额紧张，报满为止）</w:t>
      </w:r>
    </w:p>
    <w:p w14:paraId="46CFEF0B">
      <w:pPr>
        <w:tabs>
          <w:tab w:val="left" w:pos="409"/>
        </w:tabs>
        <w:spacing w:line="288" w:lineRule="auto"/>
        <w:rPr>
          <w:rFonts w:asciiTheme="minorEastAsia" w:hAnsiTheme="minorEastAsia" w:eastAsiaTheme="minorEastAsia" w:cstheme="minorEastAsia"/>
          <w:sz w:val="21"/>
          <w:szCs w:val="21"/>
        </w:rPr>
      </w:pPr>
    </w:p>
    <w:p w14:paraId="4A457962">
      <w:pPr>
        <w:pStyle w:val="2"/>
        <w:spacing w:before="0" w:line="288" w:lineRule="auto"/>
        <w:ind w:left="0" w:hanging="1"/>
        <w:jc w:val="center"/>
        <w:rPr>
          <w:rFonts w:hint="eastAsia" w:asciiTheme="minorEastAsia" w:hAnsiTheme="minorEastAsia" w:eastAsiaTheme="minorEastAsia"/>
          <w:b/>
          <w:bCs/>
        </w:rPr>
      </w:pPr>
      <w:r>
        <w:rPr>
          <w:rFonts w:hint="eastAsia" w:asciiTheme="minorEastAsia" w:hAnsiTheme="minorEastAsia" w:eastAsiaTheme="minorEastAsia"/>
          <w:b/>
          <w:bCs/>
        </w:rPr>
        <w:t>扫描二维码填写2027年寒假项目报名表</w:t>
      </w:r>
    </w:p>
    <w:p w14:paraId="4B643802">
      <w:pPr>
        <w:pStyle w:val="2"/>
        <w:spacing w:before="0" w:line="288" w:lineRule="auto"/>
        <w:ind w:left="0" w:hanging="1"/>
        <w:jc w:val="center"/>
        <w:rPr>
          <w:rFonts w:hint="eastAsia" w:asciiTheme="minorEastAsia" w:hAnsiTheme="minorEastAsia" w:eastAsiaTheme="minorEastAsia"/>
          <w:b/>
          <w:bCs/>
        </w:rPr>
      </w:pPr>
    </w:p>
    <w:p w14:paraId="2849131E">
      <w:pPr>
        <w:tabs>
          <w:tab w:val="left" w:pos="409"/>
        </w:tabs>
        <w:spacing w:line="288" w:lineRule="auto"/>
        <w:jc w:val="center"/>
        <w:rPr>
          <w:rFonts w:asciiTheme="minorEastAsia" w:hAnsiTheme="minorEastAsia" w:eastAsiaTheme="minorEastAsia" w:cstheme="minorEastAsia"/>
          <w:sz w:val="21"/>
          <w:szCs w:val="21"/>
        </w:rPr>
      </w:pPr>
      <w:r>
        <w:rPr>
          <w:rFonts w:hint="eastAsia" w:asciiTheme="minorEastAsia" w:hAnsiTheme="minorEastAsia" w:eastAsiaTheme="minorEastAsia"/>
          <w:b/>
          <w:bCs/>
          <w:sz w:val="21"/>
          <w:szCs w:val="21"/>
        </w:rPr>
        <w:drawing>
          <wp:inline distT="0" distB="0" distL="114300" distR="114300">
            <wp:extent cx="1372235" cy="1372235"/>
            <wp:effectExtent l="0" t="0" r="24765" b="24765"/>
            <wp:docPr id="1" name="图片 1" descr="远学项目报名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远学项目报名表"/>
                    <pic:cNvPicPr>
                      <a:picLocks noChangeAspect="1"/>
                    </pic:cNvPicPr>
                  </pic:nvPicPr>
                  <pic:blipFill>
                    <a:blip r:embed="rId4" cstate="print"/>
                    <a:stretch>
                      <a:fillRect/>
                    </a:stretch>
                  </pic:blipFill>
                  <pic:spPr>
                    <a:xfrm>
                      <a:off x="0" y="0"/>
                      <a:ext cx="1372235" cy="1372235"/>
                    </a:xfrm>
                    <a:prstGeom prst="rect">
                      <a:avLst/>
                    </a:prstGeom>
                  </pic:spPr>
                </pic:pic>
              </a:graphicData>
            </a:graphic>
          </wp:inline>
        </w:drawing>
      </w:r>
    </w:p>
    <w:p w14:paraId="57B733B8">
      <w:pPr>
        <w:pStyle w:val="17"/>
        <w:spacing w:line="288" w:lineRule="auto"/>
        <w:ind w:firstLine="0" w:firstLineChars="0"/>
        <w:rPr>
          <w:rFonts w:asciiTheme="minorEastAsia" w:hAnsiTheme="minorEastAsia" w:eastAsiaTheme="minorEastAsia" w:cstheme="minorEastAsia"/>
          <w:b/>
          <w:color w:val="000000" w:themeColor="text1"/>
          <w14:textFill>
            <w14:solidFill>
              <w14:schemeClr w14:val="tx1"/>
            </w14:solidFill>
          </w14:textFill>
        </w:rPr>
      </w:pPr>
    </w:p>
    <w:p w14:paraId="581C598D">
      <w:pPr>
        <w:pStyle w:val="17"/>
        <w:spacing w:line="288" w:lineRule="auto"/>
        <w:ind w:firstLine="0" w:firstLineChars="0"/>
        <w:rPr>
          <w:rFonts w:asciiTheme="minorEastAsia" w:hAnsiTheme="minorEastAsia" w:eastAsiaTheme="minorEastAsia" w:cstheme="minorEastAsia"/>
          <w:b/>
          <w:color w:val="000000" w:themeColor="text1"/>
          <w14:textFill>
            <w14:solidFill>
              <w14:schemeClr w14:val="tx1"/>
            </w14:solidFill>
          </w14:textFill>
        </w:rPr>
      </w:pPr>
      <w:r>
        <w:rPr>
          <w:rFonts w:hint="eastAsia" w:asciiTheme="minorEastAsia" w:hAnsiTheme="minorEastAsia" w:eastAsiaTheme="minorEastAsia" w:cstheme="minorEastAsia"/>
          <w:b/>
          <w:color w:val="000000" w:themeColor="text1"/>
          <w14:textFill>
            <w14:solidFill>
              <w14:schemeClr w14:val="tx1"/>
            </w14:solidFill>
          </w14:textFill>
        </w:rPr>
        <w:t>伦敦大学学院项目授权方报名:</w:t>
      </w:r>
    </w:p>
    <w:p w14:paraId="54BB148B">
      <w:pPr>
        <w:pStyle w:val="2"/>
        <w:spacing w:before="0" w:line="288" w:lineRule="auto"/>
        <w:ind w:left="0"/>
        <w:rPr>
          <w:rFonts w:asciiTheme="minorEastAsia" w:hAnsiTheme="minorEastAsia" w:eastAsiaTheme="minorEastAsia" w:cstheme="minorEastAsia"/>
          <w:spacing w:val="0"/>
        </w:rPr>
      </w:pPr>
      <w:r>
        <w:rPr>
          <w:rFonts w:hint="eastAsia" w:asciiTheme="minorEastAsia" w:hAnsiTheme="minorEastAsia" w:eastAsiaTheme="minorEastAsia" w:cstheme="minorEastAsia"/>
          <w:spacing w:val="0"/>
        </w:rPr>
        <w:t>肖老师，微信号：ISPmaria （可微信咨询或报名，请标注国内学校+专业+姓名）</w:t>
      </w:r>
    </w:p>
    <w:p w14:paraId="30C0FAB0">
      <w:pPr>
        <w:pStyle w:val="2"/>
        <w:spacing w:before="0" w:line="288" w:lineRule="auto"/>
        <w:ind w:left="0"/>
        <w:rPr>
          <w:rFonts w:asciiTheme="minorEastAsia" w:hAnsiTheme="minorEastAsia" w:eastAsiaTheme="minorEastAsia"/>
          <w:sz w:val="21"/>
          <w:szCs w:val="21"/>
        </w:rPr>
      </w:pPr>
      <w:r>
        <w:rPr>
          <w:rFonts w:hint="eastAsia" w:asciiTheme="minorEastAsia" w:hAnsiTheme="minorEastAsia" w:eastAsiaTheme="minorEastAsia" w:cstheme="minorEastAsia"/>
          <w:spacing w:val="0"/>
        </w:rPr>
        <w:drawing>
          <wp:anchor distT="0" distB="0" distL="0" distR="0" simplePos="0" relativeHeight="251660288" behindDoc="0" locked="0" layoutInCell="1" allowOverlap="1">
            <wp:simplePos x="0" y="0"/>
            <wp:positionH relativeFrom="page">
              <wp:posOffset>2192655</wp:posOffset>
            </wp:positionH>
            <wp:positionV relativeFrom="paragraph">
              <wp:posOffset>66040</wp:posOffset>
            </wp:positionV>
            <wp:extent cx="980440" cy="1001395"/>
            <wp:effectExtent l="0" t="0" r="635" b="8255"/>
            <wp:wrapTopAndBottom/>
            <wp:docPr id="4" name="image2.jpeg" descr="校内申请中的问与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descr="校内申请中的问与答"/>
                    <pic:cNvPicPr>
                      <a:picLocks noChangeAspect="1"/>
                    </pic:cNvPicPr>
                  </pic:nvPicPr>
                  <pic:blipFill>
                    <a:blip r:embed="rId5" cstate="print"/>
                    <a:stretch>
                      <a:fillRect/>
                    </a:stretch>
                  </pic:blipFill>
                  <pic:spPr>
                    <a:xfrm>
                      <a:off x="0" y="0"/>
                      <a:ext cx="980440" cy="1001395"/>
                    </a:xfrm>
                    <a:prstGeom prst="rect">
                      <a:avLst/>
                    </a:prstGeom>
                  </pic:spPr>
                </pic:pic>
              </a:graphicData>
            </a:graphic>
          </wp:anchor>
        </w:drawing>
      </w:r>
      <w:r>
        <w:rPr>
          <w:rFonts w:hint="eastAsia" w:asciiTheme="minorEastAsia" w:hAnsiTheme="minorEastAsia" w:eastAsiaTheme="minorEastAsia" w:cstheme="minorEastAsia"/>
          <w:spacing w:val="0"/>
        </w:rPr>
        <w:drawing>
          <wp:anchor distT="0" distB="0" distL="0" distR="0" simplePos="0" relativeHeight="251659264" behindDoc="0" locked="0" layoutInCell="1" allowOverlap="1">
            <wp:simplePos x="0" y="0"/>
            <wp:positionH relativeFrom="column">
              <wp:posOffset>-3810</wp:posOffset>
            </wp:positionH>
            <wp:positionV relativeFrom="paragraph">
              <wp:posOffset>34925</wp:posOffset>
            </wp:positionV>
            <wp:extent cx="1042670" cy="1044575"/>
            <wp:effectExtent l="0" t="0" r="5080" b="3175"/>
            <wp:wrapTopAndBottom/>
            <wp:docPr id="5" name="图片 1" descr="D:\办公软件\wechat\WeChat Files\wxid_5q28o2z3e3qt21\FileStorage\Temp\024a83dfc3783d00910d841b58460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D:\办公软件\wechat\WeChat Files\wxid_5q28o2z3e3qt21\FileStorage\Temp\024a83dfc3783d00910d841b58460a5.jpg"/>
                    <pic:cNvPicPr>
                      <a:picLocks noChangeAspect="1" noChangeArrowheads="1"/>
                    </pic:cNvPicPr>
                  </pic:nvPicPr>
                  <pic:blipFill>
                    <a:blip r:embed="rId6" cstate="print"/>
                    <a:srcRect/>
                    <a:stretch>
                      <a:fillRect/>
                    </a:stretch>
                  </pic:blipFill>
                  <pic:spPr>
                    <a:xfrm>
                      <a:off x="0" y="0"/>
                      <a:ext cx="1044279" cy="1046117"/>
                    </a:xfrm>
                    <a:prstGeom prst="rect">
                      <a:avLst/>
                    </a:prstGeom>
                    <a:noFill/>
                    <a:ln w="9525">
                      <a:noFill/>
                      <a:miter lim="800000"/>
                      <a:headEnd/>
                      <a:tailEnd/>
                    </a:ln>
                  </pic:spPr>
                </pic:pic>
              </a:graphicData>
            </a:graphic>
          </wp:anchor>
        </w:drawing>
      </w:r>
      <w:r>
        <w:rPr>
          <w:rFonts w:hint="eastAsia" w:asciiTheme="minorEastAsia" w:hAnsiTheme="minorEastAsia" w:eastAsiaTheme="minorEastAsia" w:cstheme="minorEastAsia"/>
          <w:color w:val="000000"/>
          <w:spacing w:val="0"/>
          <w:kern w:val="2"/>
        </w:rPr>
        <w:t>更多项目信息，关注上方</w:t>
      </w:r>
      <w:r>
        <w:rPr>
          <w:rFonts w:hint="eastAsia" w:asciiTheme="minorEastAsia" w:hAnsiTheme="minorEastAsia" w:eastAsiaTheme="minorEastAsia" w:cstheme="minorEastAsia"/>
          <w:b/>
          <w:color w:val="000000"/>
          <w:spacing w:val="0"/>
          <w:kern w:val="2"/>
        </w:rPr>
        <w:t>微信公众号</w:t>
      </w:r>
    </w:p>
    <w:sectPr>
      <w:pgSz w:w="11910" w:h="16840"/>
      <w:pgMar w:top="1440" w:right="1803" w:bottom="1440" w:left="1803" w:header="720" w:footer="72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A6740A"/>
    <w:multiLevelType w:val="multilevel"/>
    <w:tmpl w:val="4BA6740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3F6"/>
    <w:rsid w:val="0000282E"/>
    <w:rsid w:val="00007C42"/>
    <w:rsid w:val="00010777"/>
    <w:rsid w:val="00023F89"/>
    <w:rsid w:val="00024135"/>
    <w:rsid w:val="00047FF5"/>
    <w:rsid w:val="000544AA"/>
    <w:rsid w:val="000633F6"/>
    <w:rsid w:val="000705E9"/>
    <w:rsid w:val="000836E5"/>
    <w:rsid w:val="0008494B"/>
    <w:rsid w:val="000A446A"/>
    <w:rsid w:val="000B06AF"/>
    <w:rsid w:val="000B37C5"/>
    <w:rsid w:val="000C09F0"/>
    <w:rsid w:val="000C4159"/>
    <w:rsid w:val="000D7242"/>
    <w:rsid w:val="000F276E"/>
    <w:rsid w:val="001228BE"/>
    <w:rsid w:val="0012604A"/>
    <w:rsid w:val="00153111"/>
    <w:rsid w:val="00154BD3"/>
    <w:rsid w:val="00155D15"/>
    <w:rsid w:val="00155DF0"/>
    <w:rsid w:val="00172DC1"/>
    <w:rsid w:val="00175389"/>
    <w:rsid w:val="00176532"/>
    <w:rsid w:val="00184898"/>
    <w:rsid w:val="001858AF"/>
    <w:rsid w:val="00193B8C"/>
    <w:rsid w:val="001947CB"/>
    <w:rsid w:val="001A0F3A"/>
    <w:rsid w:val="001C248B"/>
    <w:rsid w:val="001D2D1E"/>
    <w:rsid w:val="001E3400"/>
    <w:rsid w:val="001F0578"/>
    <w:rsid w:val="001F5A74"/>
    <w:rsid w:val="001F62FF"/>
    <w:rsid w:val="002038A7"/>
    <w:rsid w:val="002051ED"/>
    <w:rsid w:val="002165BD"/>
    <w:rsid w:val="00221228"/>
    <w:rsid w:val="002256D2"/>
    <w:rsid w:val="002336DE"/>
    <w:rsid w:val="00237123"/>
    <w:rsid w:val="00246A12"/>
    <w:rsid w:val="00247C92"/>
    <w:rsid w:val="00250724"/>
    <w:rsid w:val="00262EEA"/>
    <w:rsid w:val="0026611E"/>
    <w:rsid w:val="00266728"/>
    <w:rsid w:val="00266A63"/>
    <w:rsid w:val="00267B8B"/>
    <w:rsid w:val="002914F7"/>
    <w:rsid w:val="002A141F"/>
    <w:rsid w:val="002A24AD"/>
    <w:rsid w:val="002A5A7E"/>
    <w:rsid w:val="002B5B9E"/>
    <w:rsid w:val="002B6CFF"/>
    <w:rsid w:val="002C07CB"/>
    <w:rsid w:val="002C4DAE"/>
    <w:rsid w:val="002C7A62"/>
    <w:rsid w:val="002D0714"/>
    <w:rsid w:val="002E708D"/>
    <w:rsid w:val="00304DF3"/>
    <w:rsid w:val="0030620B"/>
    <w:rsid w:val="003069BB"/>
    <w:rsid w:val="00312333"/>
    <w:rsid w:val="00316EED"/>
    <w:rsid w:val="00327D98"/>
    <w:rsid w:val="00333DF9"/>
    <w:rsid w:val="00333FC4"/>
    <w:rsid w:val="00334819"/>
    <w:rsid w:val="00345B72"/>
    <w:rsid w:val="00361C9D"/>
    <w:rsid w:val="00377CBD"/>
    <w:rsid w:val="00380B86"/>
    <w:rsid w:val="003A268B"/>
    <w:rsid w:val="003A55CA"/>
    <w:rsid w:val="003B2DA8"/>
    <w:rsid w:val="003C0F17"/>
    <w:rsid w:val="003E0984"/>
    <w:rsid w:val="003E433A"/>
    <w:rsid w:val="003F165D"/>
    <w:rsid w:val="003F6586"/>
    <w:rsid w:val="00400D70"/>
    <w:rsid w:val="00405504"/>
    <w:rsid w:val="00405F5B"/>
    <w:rsid w:val="00410809"/>
    <w:rsid w:val="00421697"/>
    <w:rsid w:val="004230BD"/>
    <w:rsid w:val="00423A19"/>
    <w:rsid w:val="004432A7"/>
    <w:rsid w:val="00445513"/>
    <w:rsid w:val="004769BA"/>
    <w:rsid w:val="004B4A74"/>
    <w:rsid w:val="004C021D"/>
    <w:rsid w:val="004C5BDE"/>
    <w:rsid w:val="004F44D5"/>
    <w:rsid w:val="00502F0B"/>
    <w:rsid w:val="0050506D"/>
    <w:rsid w:val="005104BB"/>
    <w:rsid w:val="005166F8"/>
    <w:rsid w:val="00522824"/>
    <w:rsid w:val="005253DC"/>
    <w:rsid w:val="00526B93"/>
    <w:rsid w:val="0053594C"/>
    <w:rsid w:val="00536C2E"/>
    <w:rsid w:val="00541478"/>
    <w:rsid w:val="00552EBA"/>
    <w:rsid w:val="00561FC6"/>
    <w:rsid w:val="00563E67"/>
    <w:rsid w:val="00571BAC"/>
    <w:rsid w:val="005819D2"/>
    <w:rsid w:val="005869D7"/>
    <w:rsid w:val="00587DFF"/>
    <w:rsid w:val="005A196A"/>
    <w:rsid w:val="005B228C"/>
    <w:rsid w:val="005B31F4"/>
    <w:rsid w:val="005B6B46"/>
    <w:rsid w:val="005B7B8F"/>
    <w:rsid w:val="005B7CA2"/>
    <w:rsid w:val="005D1745"/>
    <w:rsid w:val="005E01DE"/>
    <w:rsid w:val="005E2528"/>
    <w:rsid w:val="005E33A2"/>
    <w:rsid w:val="005E6CCF"/>
    <w:rsid w:val="005F0082"/>
    <w:rsid w:val="005F026C"/>
    <w:rsid w:val="005F4B8C"/>
    <w:rsid w:val="00600D6D"/>
    <w:rsid w:val="006103FF"/>
    <w:rsid w:val="00623CE8"/>
    <w:rsid w:val="00635C4C"/>
    <w:rsid w:val="0064393E"/>
    <w:rsid w:val="00644765"/>
    <w:rsid w:val="00645933"/>
    <w:rsid w:val="0067233C"/>
    <w:rsid w:val="00682754"/>
    <w:rsid w:val="00691A65"/>
    <w:rsid w:val="006A3046"/>
    <w:rsid w:val="006A4D8D"/>
    <w:rsid w:val="006A7FC7"/>
    <w:rsid w:val="006C4BDE"/>
    <w:rsid w:val="006D03A9"/>
    <w:rsid w:val="006D06A2"/>
    <w:rsid w:val="006D2E88"/>
    <w:rsid w:val="006E1A37"/>
    <w:rsid w:val="006E7270"/>
    <w:rsid w:val="006F23F6"/>
    <w:rsid w:val="006F7F54"/>
    <w:rsid w:val="00702C26"/>
    <w:rsid w:val="0071027B"/>
    <w:rsid w:val="0071755D"/>
    <w:rsid w:val="00721C14"/>
    <w:rsid w:val="00727036"/>
    <w:rsid w:val="00737253"/>
    <w:rsid w:val="00737831"/>
    <w:rsid w:val="007518EE"/>
    <w:rsid w:val="00756819"/>
    <w:rsid w:val="00763CB0"/>
    <w:rsid w:val="0077564F"/>
    <w:rsid w:val="00786CBD"/>
    <w:rsid w:val="00796060"/>
    <w:rsid w:val="007A2228"/>
    <w:rsid w:val="007B0D33"/>
    <w:rsid w:val="007C3784"/>
    <w:rsid w:val="007D633B"/>
    <w:rsid w:val="007E1C09"/>
    <w:rsid w:val="007E202D"/>
    <w:rsid w:val="007F1844"/>
    <w:rsid w:val="008006A7"/>
    <w:rsid w:val="008008FD"/>
    <w:rsid w:val="00805077"/>
    <w:rsid w:val="00826262"/>
    <w:rsid w:val="00827DD4"/>
    <w:rsid w:val="00832B1F"/>
    <w:rsid w:val="008371D9"/>
    <w:rsid w:val="008575A2"/>
    <w:rsid w:val="00861D42"/>
    <w:rsid w:val="00867429"/>
    <w:rsid w:val="00876CD5"/>
    <w:rsid w:val="008952B5"/>
    <w:rsid w:val="008B2EF8"/>
    <w:rsid w:val="008C48F9"/>
    <w:rsid w:val="008D1A78"/>
    <w:rsid w:val="008D53C9"/>
    <w:rsid w:val="008D71A1"/>
    <w:rsid w:val="008E2F12"/>
    <w:rsid w:val="008F1605"/>
    <w:rsid w:val="00907E13"/>
    <w:rsid w:val="0091328A"/>
    <w:rsid w:val="00914186"/>
    <w:rsid w:val="0091424C"/>
    <w:rsid w:val="00924943"/>
    <w:rsid w:val="009251A9"/>
    <w:rsid w:val="00925C17"/>
    <w:rsid w:val="00934132"/>
    <w:rsid w:val="00934DEE"/>
    <w:rsid w:val="00944DC2"/>
    <w:rsid w:val="00946243"/>
    <w:rsid w:val="00960FC5"/>
    <w:rsid w:val="00962C5E"/>
    <w:rsid w:val="00963D67"/>
    <w:rsid w:val="0096582E"/>
    <w:rsid w:val="00966C2B"/>
    <w:rsid w:val="00972B64"/>
    <w:rsid w:val="009955F0"/>
    <w:rsid w:val="009A0D66"/>
    <w:rsid w:val="009A6CEC"/>
    <w:rsid w:val="009B6713"/>
    <w:rsid w:val="009D049C"/>
    <w:rsid w:val="009D1967"/>
    <w:rsid w:val="009D7135"/>
    <w:rsid w:val="009E31F1"/>
    <w:rsid w:val="009E620A"/>
    <w:rsid w:val="009E6EF9"/>
    <w:rsid w:val="009E7DD4"/>
    <w:rsid w:val="009F361D"/>
    <w:rsid w:val="00A05FF5"/>
    <w:rsid w:val="00A07100"/>
    <w:rsid w:val="00A0791D"/>
    <w:rsid w:val="00A112C7"/>
    <w:rsid w:val="00A17323"/>
    <w:rsid w:val="00A21319"/>
    <w:rsid w:val="00A42542"/>
    <w:rsid w:val="00A473A4"/>
    <w:rsid w:val="00A50A2C"/>
    <w:rsid w:val="00A5238E"/>
    <w:rsid w:val="00A8055F"/>
    <w:rsid w:val="00A83E25"/>
    <w:rsid w:val="00A85CA0"/>
    <w:rsid w:val="00A91951"/>
    <w:rsid w:val="00AA6BC6"/>
    <w:rsid w:val="00AA74B1"/>
    <w:rsid w:val="00AA7F73"/>
    <w:rsid w:val="00AB017A"/>
    <w:rsid w:val="00AD17A4"/>
    <w:rsid w:val="00AD7CD1"/>
    <w:rsid w:val="00AE44A4"/>
    <w:rsid w:val="00AF1404"/>
    <w:rsid w:val="00AF238E"/>
    <w:rsid w:val="00AF2449"/>
    <w:rsid w:val="00B02426"/>
    <w:rsid w:val="00B05BB2"/>
    <w:rsid w:val="00B0675B"/>
    <w:rsid w:val="00B50085"/>
    <w:rsid w:val="00B516ED"/>
    <w:rsid w:val="00B5495A"/>
    <w:rsid w:val="00B55A9F"/>
    <w:rsid w:val="00B672AA"/>
    <w:rsid w:val="00B7197F"/>
    <w:rsid w:val="00BA1087"/>
    <w:rsid w:val="00BA50FB"/>
    <w:rsid w:val="00BA76DC"/>
    <w:rsid w:val="00BB30FE"/>
    <w:rsid w:val="00BC029D"/>
    <w:rsid w:val="00BC6475"/>
    <w:rsid w:val="00BD6FC0"/>
    <w:rsid w:val="00C07B6B"/>
    <w:rsid w:val="00C1740B"/>
    <w:rsid w:val="00C20898"/>
    <w:rsid w:val="00C5619D"/>
    <w:rsid w:val="00C572AE"/>
    <w:rsid w:val="00C70B97"/>
    <w:rsid w:val="00C90AA5"/>
    <w:rsid w:val="00C969EF"/>
    <w:rsid w:val="00CA39F6"/>
    <w:rsid w:val="00CA794C"/>
    <w:rsid w:val="00CB002A"/>
    <w:rsid w:val="00CC0766"/>
    <w:rsid w:val="00CC1B49"/>
    <w:rsid w:val="00CE08C3"/>
    <w:rsid w:val="00D14D79"/>
    <w:rsid w:val="00D179C0"/>
    <w:rsid w:val="00D20355"/>
    <w:rsid w:val="00D234A0"/>
    <w:rsid w:val="00D32A2B"/>
    <w:rsid w:val="00D33DED"/>
    <w:rsid w:val="00D40115"/>
    <w:rsid w:val="00D616EE"/>
    <w:rsid w:val="00D7044C"/>
    <w:rsid w:val="00D74FC5"/>
    <w:rsid w:val="00D7585D"/>
    <w:rsid w:val="00D76E95"/>
    <w:rsid w:val="00D844A4"/>
    <w:rsid w:val="00D94232"/>
    <w:rsid w:val="00D97E9D"/>
    <w:rsid w:val="00DA23CB"/>
    <w:rsid w:val="00DA5BC4"/>
    <w:rsid w:val="00DB0DA8"/>
    <w:rsid w:val="00DB1FAE"/>
    <w:rsid w:val="00DD45CE"/>
    <w:rsid w:val="00DD70C1"/>
    <w:rsid w:val="00DE3E8D"/>
    <w:rsid w:val="00DE67B7"/>
    <w:rsid w:val="00DF061A"/>
    <w:rsid w:val="00E07A3C"/>
    <w:rsid w:val="00E112C4"/>
    <w:rsid w:val="00E12AD9"/>
    <w:rsid w:val="00E174A2"/>
    <w:rsid w:val="00E21C27"/>
    <w:rsid w:val="00E255FB"/>
    <w:rsid w:val="00E30C55"/>
    <w:rsid w:val="00E40111"/>
    <w:rsid w:val="00E531A8"/>
    <w:rsid w:val="00E62200"/>
    <w:rsid w:val="00EA3E02"/>
    <w:rsid w:val="00EA5344"/>
    <w:rsid w:val="00EA7461"/>
    <w:rsid w:val="00EA77F3"/>
    <w:rsid w:val="00EE7019"/>
    <w:rsid w:val="00EF1E63"/>
    <w:rsid w:val="00EF2265"/>
    <w:rsid w:val="00F07918"/>
    <w:rsid w:val="00F45B07"/>
    <w:rsid w:val="00F502F4"/>
    <w:rsid w:val="00F66025"/>
    <w:rsid w:val="00F67572"/>
    <w:rsid w:val="00F70AC7"/>
    <w:rsid w:val="00F7650C"/>
    <w:rsid w:val="00F811DF"/>
    <w:rsid w:val="00F845F9"/>
    <w:rsid w:val="00F970CB"/>
    <w:rsid w:val="00FA75C7"/>
    <w:rsid w:val="00FB0F29"/>
    <w:rsid w:val="00FC2C77"/>
    <w:rsid w:val="00FD7C23"/>
    <w:rsid w:val="00FE1C91"/>
    <w:rsid w:val="00FE2178"/>
    <w:rsid w:val="00FE3B8B"/>
    <w:rsid w:val="00FF0202"/>
    <w:rsid w:val="021F4D81"/>
    <w:rsid w:val="051258DA"/>
    <w:rsid w:val="0AAB2548"/>
    <w:rsid w:val="0BCF2858"/>
    <w:rsid w:val="0F6E4A1A"/>
    <w:rsid w:val="1063181A"/>
    <w:rsid w:val="17E24B93"/>
    <w:rsid w:val="1A5D4CAE"/>
    <w:rsid w:val="1B026309"/>
    <w:rsid w:val="23A21CD4"/>
    <w:rsid w:val="27CA2B44"/>
    <w:rsid w:val="282832D5"/>
    <w:rsid w:val="2BC5737C"/>
    <w:rsid w:val="2EC24CF5"/>
    <w:rsid w:val="3EB8E526"/>
    <w:rsid w:val="3F6F293C"/>
    <w:rsid w:val="41CB6863"/>
    <w:rsid w:val="47B20EFA"/>
    <w:rsid w:val="4DEE4804"/>
    <w:rsid w:val="538E2997"/>
    <w:rsid w:val="56A94D97"/>
    <w:rsid w:val="573F8FB3"/>
    <w:rsid w:val="5AD4478D"/>
    <w:rsid w:val="5BF7713D"/>
    <w:rsid w:val="5DB55BAA"/>
    <w:rsid w:val="626411CA"/>
    <w:rsid w:val="66D86595"/>
    <w:rsid w:val="685467FB"/>
    <w:rsid w:val="6B7519B8"/>
    <w:rsid w:val="6BE40B7D"/>
    <w:rsid w:val="6C6607D2"/>
    <w:rsid w:val="6DADC216"/>
    <w:rsid w:val="6F8634E8"/>
    <w:rsid w:val="6F9839A6"/>
    <w:rsid w:val="6FFEBAB7"/>
    <w:rsid w:val="6FFF93A0"/>
    <w:rsid w:val="70423FF2"/>
    <w:rsid w:val="786DBE01"/>
    <w:rsid w:val="78BE0A4F"/>
    <w:rsid w:val="7AA8546C"/>
    <w:rsid w:val="7C64D625"/>
    <w:rsid w:val="7D01649F"/>
    <w:rsid w:val="7F9F7FD9"/>
    <w:rsid w:val="8E7F07B3"/>
    <w:rsid w:val="97F394DE"/>
    <w:rsid w:val="D7BFF5D6"/>
    <w:rsid w:val="DDDFAD12"/>
    <w:rsid w:val="E7F403BD"/>
    <w:rsid w:val="EBFAAF4D"/>
    <w:rsid w:val="F7BF367B"/>
    <w:rsid w:val="F937CDF4"/>
    <w:rsid w:val="FDFD8DDA"/>
    <w:rsid w:val="FEFF1BEE"/>
    <w:rsid w:val="FFF6B51E"/>
    <w:rsid w:val="FFFB0303"/>
    <w:rsid w:val="FFFF281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rPr>
      <w:rFonts w:ascii="宋体" w:hAnsi="宋体" w:eastAsia="宋体" w:cs="宋体"/>
      <w:sz w:val="24"/>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widowControl w:val="0"/>
      <w:autoSpaceDE w:val="0"/>
      <w:autoSpaceDN w:val="0"/>
      <w:spacing w:before="43"/>
      <w:ind w:left="140"/>
    </w:pPr>
    <w:rPr>
      <w:spacing w:val="-2"/>
      <w:sz w:val="21"/>
      <w:szCs w:val="21"/>
    </w:rPr>
  </w:style>
  <w:style w:type="paragraph" w:styleId="3">
    <w:name w:val="Balloon Text"/>
    <w:basedOn w:val="1"/>
    <w:link w:val="16"/>
    <w:qFormat/>
    <w:uiPriority w:val="0"/>
    <w:pPr>
      <w:widowControl w:val="0"/>
      <w:autoSpaceDE w:val="0"/>
      <w:autoSpaceDN w:val="0"/>
    </w:pPr>
    <w:rPr>
      <w:sz w:val="18"/>
      <w:szCs w:val="18"/>
    </w:rPr>
  </w:style>
  <w:style w:type="paragraph" w:styleId="4">
    <w:name w:val="footer"/>
    <w:basedOn w:val="1"/>
    <w:link w:val="15"/>
    <w:qFormat/>
    <w:uiPriority w:val="0"/>
    <w:pPr>
      <w:widowControl w:val="0"/>
      <w:tabs>
        <w:tab w:val="center" w:pos="4153"/>
        <w:tab w:val="right" w:pos="8306"/>
      </w:tabs>
      <w:autoSpaceDE w:val="0"/>
      <w:autoSpaceDN w:val="0"/>
      <w:snapToGrid w:val="0"/>
    </w:pPr>
    <w:rPr>
      <w:sz w:val="18"/>
      <w:szCs w:val="18"/>
    </w:rPr>
  </w:style>
  <w:style w:type="paragraph" w:styleId="5">
    <w:name w:val="header"/>
    <w:basedOn w:val="1"/>
    <w:link w:val="14"/>
    <w:qFormat/>
    <w:uiPriority w:val="0"/>
    <w:pPr>
      <w:widowControl w:val="0"/>
      <w:pBdr>
        <w:bottom w:val="single" w:color="auto" w:sz="6" w:space="1"/>
      </w:pBdr>
      <w:tabs>
        <w:tab w:val="center" w:pos="4153"/>
        <w:tab w:val="right" w:pos="8306"/>
      </w:tabs>
      <w:autoSpaceDE w:val="0"/>
      <w:autoSpaceDN w:val="0"/>
      <w:snapToGrid w:val="0"/>
      <w:jc w:val="center"/>
    </w:pPr>
    <w:rPr>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bCs/>
    </w:rPr>
  </w:style>
  <w:style w:type="table" w:customStyle="1" w:styleId="11">
    <w:name w:val="Table Normal1"/>
    <w:semiHidden/>
    <w:unhideWhenUsed/>
    <w:qFormat/>
    <w:uiPriority w:val="2"/>
    <w:tblPr>
      <w:tblCellMar>
        <w:top w:w="0" w:type="dxa"/>
        <w:left w:w="0" w:type="dxa"/>
        <w:bottom w:w="0" w:type="dxa"/>
        <w:right w:w="0" w:type="dxa"/>
      </w:tblCellMar>
    </w:tblPr>
  </w:style>
  <w:style w:type="paragraph" w:styleId="12">
    <w:name w:val="List Paragraph"/>
    <w:basedOn w:val="1"/>
    <w:qFormat/>
    <w:uiPriority w:val="34"/>
    <w:pPr>
      <w:widowControl w:val="0"/>
      <w:autoSpaceDE w:val="0"/>
      <w:autoSpaceDN w:val="0"/>
      <w:spacing w:before="43"/>
      <w:ind w:left="560" w:hanging="421"/>
    </w:pPr>
    <w:rPr>
      <w:sz w:val="22"/>
      <w:szCs w:val="22"/>
    </w:rPr>
  </w:style>
  <w:style w:type="paragraph" w:customStyle="1" w:styleId="13">
    <w:name w:val="Table Paragraph"/>
    <w:basedOn w:val="1"/>
    <w:qFormat/>
    <w:uiPriority w:val="1"/>
    <w:pPr>
      <w:widowControl w:val="0"/>
      <w:autoSpaceDE w:val="0"/>
      <w:autoSpaceDN w:val="0"/>
      <w:spacing w:before="28"/>
      <w:ind w:left="107"/>
    </w:pPr>
    <w:rPr>
      <w:rFonts w:ascii="Calibri" w:hAnsi="Calibri" w:eastAsia="Calibri" w:cs="Calibri"/>
      <w:sz w:val="22"/>
      <w:szCs w:val="22"/>
    </w:rPr>
  </w:style>
  <w:style w:type="character" w:customStyle="1" w:styleId="14">
    <w:name w:val="页眉 Char"/>
    <w:basedOn w:val="9"/>
    <w:link w:val="5"/>
    <w:qFormat/>
    <w:uiPriority w:val="0"/>
    <w:rPr>
      <w:rFonts w:ascii="宋体" w:hAnsi="宋体" w:eastAsia="宋体" w:cs="宋体"/>
      <w:sz w:val="18"/>
      <w:szCs w:val="18"/>
    </w:rPr>
  </w:style>
  <w:style w:type="character" w:customStyle="1" w:styleId="15">
    <w:name w:val="页脚 Char"/>
    <w:basedOn w:val="9"/>
    <w:link w:val="4"/>
    <w:qFormat/>
    <w:uiPriority w:val="0"/>
    <w:rPr>
      <w:rFonts w:ascii="宋体" w:hAnsi="宋体" w:eastAsia="宋体" w:cs="宋体"/>
      <w:sz w:val="18"/>
      <w:szCs w:val="18"/>
    </w:rPr>
  </w:style>
  <w:style w:type="character" w:customStyle="1" w:styleId="16">
    <w:name w:val="批注框文本 Char"/>
    <w:basedOn w:val="9"/>
    <w:link w:val="3"/>
    <w:qFormat/>
    <w:uiPriority w:val="0"/>
    <w:rPr>
      <w:rFonts w:ascii="宋体" w:hAnsi="宋体" w:eastAsia="宋体" w:cs="宋体"/>
      <w:sz w:val="18"/>
      <w:szCs w:val="18"/>
    </w:rPr>
  </w:style>
  <w:style w:type="paragraph" w:customStyle="1" w:styleId="17">
    <w:name w:val="列出段落1"/>
    <w:basedOn w:val="1"/>
    <w:qFormat/>
    <w:uiPriority w:val="0"/>
    <w:pPr>
      <w:widowControl w:val="0"/>
      <w:ind w:firstLine="420" w:firstLineChars="200"/>
      <w:jc w:val="both"/>
    </w:pPr>
    <w:rPr>
      <w:rFonts w:ascii="Calibri" w:hAnsi="Calibri" w:cs="Calibri"/>
      <w:kern w:val="2"/>
      <w:sz w:val="21"/>
      <w:szCs w:val="21"/>
    </w:rPr>
  </w:style>
  <w:style w:type="paragraph" w:customStyle="1" w:styleId="18">
    <w:name w:val="修订1"/>
    <w:hidden/>
    <w:semiHidden/>
    <w:qFormat/>
    <w:uiPriority w:val="99"/>
    <w:rPr>
      <w:rFonts w:ascii="宋体" w:hAnsi="宋体" w:eastAsia="宋体" w:cs="宋体"/>
      <w:sz w:val="22"/>
      <w:szCs w:val="22"/>
      <w:lang w:val="en-US" w:eastAsia="zh-CN" w:bidi="ar-SA"/>
    </w:rPr>
  </w:style>
  <w:style w:type="paragraph" w:customStyle="1" w:styleId="19">
    <w:name w:val="ds-markdown-paragraph"/>
    <w:basedOn w:val="1"/>
    <w:qFormat/>
    <w:uiPriority w:val="0"/>
    <w:pPr>
      <w:spacing w:before="100" w:beforeAutospacing="1" w:after="100" w:afterAutospacing="1"/>
    </w:pPr>
  </w:style>
  <w:style w:type="character" w:customStyle="1" w:styleId="20">
    <w:name w:val="apple-converted-space"/>
    <w:basedOn w:val="9"/>
    <w:qFormat/>
    <w:uiPriority w:val="0"/>
  </w:style>
  <w:style w:type="paragraph" w:customStyle="1" w:styleId="21">
    <w:name w:val="修订2"/>
    <w:hidden/>
    <w:semiHidden/>
    <w:qFormat/>
    <w:uiPriority w:val="99"/>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411F62D2-5C42-486C-8EDA-E33B1A3A141B}">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3</Pages>
  <Words>2530</Words>
  <Characters>2678</Characters>
  <Lines>19</Lines>
  <Paragraphs>5</Paragraphs>
  <TotalTime>20</TotalTime>
  <ScaleCrop>false</ScaleCrop>
  <LinksUpToDate>false</LinksUpToDate>
  <CharactersWithSpaces>2707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2026-08-24T19:49:00Z</dcterms:created>
  <dc:creator>Windows 用户</dc:creator>
  <cp:lastModifiedBy>于华</cp:lastModifiedBy>
  <cp:lastPrinted>2024-09-04T12:13:00Z</cp:lastPrinted>
  <dcterms:modified xsi:type="dcterms:W3CDTF">2026-09-14T01:56:18Z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2024-02-20T00:00:00Z</vt:filetime>
  </property>
  <property fmtid="{D5CDD505-2E9C-101B-9397-08002B2CF9AE}" pid="3" name="Creator">
    <vt:lpwstr>Acrobat PDFMaker 9.0 Word 版</vt:lpwstr>
  </property>
  <property fmtid="{D5CDD505-2E9C-101B-9397-08002B2CF9AE}" pid="4" name="LastSaved">
    <vt:filetime>2024-08-14T00:00:00Z</vt:filetime>
  </property>
  <property fmtid="{D5CDD505-2E9C-101B-9397-08002B2CF9AE}" pid="5" name="KSOProductBuildVer">
    <vt:lpwstr>2052-12.1.0.28043</vt:lpwstr>
  </property>
  <property fmtid="{D5CDD505-2E9C-101B-9397-08002B2CF9AE}" pid="6" name="ICV">
    <vt:lpwstr>A08D521A1E5B4A458DF1176B2725E185_13</vt:lpwstr>
  </property>
  <property fmtid="{D5CDD505-2E9C-101B-9397-08002B2CF9AE}" pid="7" name="KSOTemplateDocerSaveRecord">
    <vt:lpwstr>eyJoZGlkIjoiNzdjYzk2NWQ5Yjk3N2M3NmUwNTFlY2MxMTEwODE4M2UiLCJ1c2VySWQiOiIxNDc5NTE5NDcxIn0=</vt:lpwstr>
  </property>
</Properties>
</file>