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E11464">
      <w:pPr>
        <w:widowControl/>
        <w:spacing w:after="100" w:afterAutospacing="1" w:line="240" w:lineRule="auto"/>
        <w:ind w:firstLine="0"/>
        <w:jc w:val="center"/>
        <w:rPr>
          <w:rFonts w:ascii="仿宋" w:hAnsi="仿宋" w:eastAsia="仿宋" w:cs="Segoe UI"/>
          <w:color w:val="C00000"/>
          <w:sz w:val="36"/>
          <w:szCs w:val="36"/>
        </w:rPr>
      </w:pPr>
      <w:bookmarkStart w:id="0" w:name="_Hlk184220041"/>
      <w:r>
        <w:rPr>
          <w:rFonts w:ascii="仿宋" w:hAnsi="仿宋" w:eastAsia="仿宋" w:cs="Segoe UI"/>
          <w:b/>
          <w:bCs/>
          <w:sz w:val="36"/>
          <w:szCs w:val="36"/>
        </w:rPr>
        <w:t>加州大学</w:t>
      </w:r>
      <w:r>
        <w:rPr>
          <w:rFonts w:hint="eastAsia" w:ascii="仿宋" w:hAnsi="仿宋" w:eastAsia="仿宋" w:cs="Segoe UI"/>
          <w:b/>
          <w:bCs/>
          <w:sz w:val="36"/>
          <w:szCs w:val="36"/>
          <w:lang w:val="en-US" w:eastAsia="zh-CN"/>
        </w:rPr>
        <w:t>欧文</w:t>
      </w:r>
      <w:r>
        <w:rPr>
          <w:rFonts w:ascii="仿宋" w:hAnsi="仿宋" w:eastAsia="仿宋" w:cs="Segoe UI"/>
          <w:b/>
          <w:bCs/>
          <w:sz w:val="36"/>
          <w:szCs w:val="36"/>
        </w:rPr>
        <w:t>分校 3+1 硕博联合培养项目</w:t>
      </w:r>
      <w:r>
        <w:rPr>
          <w:rFonts w:ascii="仿宋" w:hAnsi="仿宋" w:eastAsia="仿宋"/>
        </w:rPr>
        <w:br w:type="textWrapping"/>
      </w:r>
      <w:r>
        <w:rPr>
          <w:rFonts w:ascii="仿宋" w:hAnsi="仿宋" w:eastAsia="仿宋" w:cs="Segoe UI"/>
          <w:b/>
          <w:bCs/>
          <w:color w:val="C00000"/>
          <w:sz w:val="20"/>
          <w:szCs w:val="20"/>
        </w:rPr>
        <w:t>——直通美国顶尖名校，成就学术与职业未来</w:t>
      </w:r>
    </w:p>
    <w:p w14:paraId="6595E81A">
      <w:pPr>
        <w:widowControl/>
        <w:spacing w:before="100" w:beforeAutospacing="1" w:after="100" w:afterAutospacing="1" w:line="240" w:lineRule="auto"/>
        <w:ind w:firstLine="0"/>
        <w:jc w:val="left"/>
        <w:outlineLvl w:val="2"/>
        <w:rPr>
          <w:rFonts w:ascii="仿宋" w:hAnsi="仿宋" w:eastAsia="仿宋" w:cstheme="minorEastAsia"/>
          <w:b/>
          <w:bCs/>
        </w:rPr>
      </w:pPr>
      <w:r>
        <w:rPr>
          <w:rFonts w:ascii="仿宋" w:hAnsi="仿宋" w:eastAsia="仿宋" w:cstheme="minorEastAsia"/>
          <w:b/>
          <w:bCs/>
        </w:rPr>
        <w:t>一、学校简介</w:t>
      </w:r>
    </w:p>
    <w:p w14:paraId="42F6087C">
      <w:pPr>
        <w:widowControl/>
        <w:spacing w:before="100" w:beforeAutospacing="1" w:after="100" w:afterAutospacing="1" w:line="240" w:lineRule="auto"/>
        <w:ind w:firstLine="0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加州大学</w:t>
      </w:r>
      <w:r>
        <w:rPr>
          <w:rFonts w:hint="eastAsia" w:ascii="仿宋" w:hAnsi="仿宋" w:eastAsia="仿宋" w:cstheme="minorEastAsia"/>
          <w:b/>
          <w:bCs/>
          <w:lang w:eastAsia="zh-CN"/>
        </w:rPr>
        <w:t>欧文</w:t>
      </w:r>
      <w:r>
        <w:rPr>
          <w:rFonts w:ascii="仿宋" w:hAnsi="仿宋" w:eastAsia="仿宋" w:cstheme="minorEastAsia"/>
          <w:b/>
          <w:bCs/>
        </w:rPr>
        <w:t>分校（UCI）成立</w:t>
      </w:r>
      <w:r>
        <w:rPr>
          <w:rFonts w:ascii="仿宋" w:hAnsi="仿宋" w:eastAsia="仿宋" w:cstheme="minorEastAsia"/>
        </w:rPr>
        <w:t>于1965年，2026年全美综合排名第33位（</w:t>
      </w:r>
      <w:r>
        <w:rPr>
          <w:rFonts w:ascii="仿宋" w:hAnsi="仿宋" w:eastAsia="仿宋" w:cstheme="minorEastAsia"/>
          <w:i/>
          <w:iCs/>
        </w:rPr>
        <w:t>U.S. News</w:t>
      </w:r>
      <w:r>
        <w:rPr>
          <w:rFonts w:ascii="仿宋" w:hAnsi="仿宋" w:eastAsia="仿宋" w:cstheme="minorEastAsia"/>
        </w:rPr>
        <w:t>），公立大学第8位，被誉为“公立常青藤”。</w:t>
      </w:r>
    </w:p>
    <w:p w14:paraId="73B04B1F">
      <w:pPr>
        <w:widowControl/>
        <w:numPr>
          <w:ilvl w:val="0"/>
          <w:numId w:val="1"/>
        </w:numPr>
        <w:spacing w:after="60"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顶尖学科排名</w:t>
      </w:r>
      <w:r>
        <w:rPr>
          <w:rFonts w:ascii="仿宋" w:hAnsi="仿宋" w:eastAsia="仿宋" w:cstheme="minorEastAsia"/>
        </w:rPr>
        <w:t>：</w:t>
      </w:r>
    </w:p>
    <w:p w14:paraId="4D3EC871">
      <w:pPr>
        <w:widowControl/>
        <w:numPr>
          <w:ilvl w:val="1"/>
          <w:numId w:val="1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工程领域</w:t>
      </w:r>
      <w:r>
        <w:rPr>
          <w:rFonts w:ascii="仿宋" w:hAnsi="仿宋" w:eastAsia="仿宋" w:cstheme="minorEastAsia"/>
        </w:rPr>
        <w:t>：生物医学工程全美第16，计算机工程全美第15（</w:t>
      </w:r>
      <w:r>
        <w:rPr>
          <w:rFonts w:ascii="仿宋" w:hAnsi="仿宋" w:eastAsia="仿宋" w:cstheme="minorEastAsia"/>
          <w:i/>
          <w:iCs/>
        </w:rPr>
        <w:t>U.S. News</w:t>
      </w:r>
      <w:r>
        <w:rPr>
          <w:rFonts w:ascii="仿宋" w:hAnsi="仿宋" w:eastAsia="仿宋" w:cstheme="minorEastAsia"/>
        </w:rPr>
        <w:t>）。</w:t>
      </w:r>
    </w:p>
    <w:p w14:paraId="7C9C6B57">
      <w:pPr>
        <w:widowControl/>
        <w:numPr>
          <w:ilvl w:val="1"/>
          <w:numId w:val="1"/>
        </w:numPr>
        <w:spacing w:line="240" w:lineRule="auto"/>
        <w:jc w:val="left"/>
        <w:rPr>
          <w:rFonts w:ascii="仿宋" w:hAnsi="仿宋" w:eastAsia="仿宋" w:cstheme="minorEastAsia"/>
          <w:color w:val="EE0000"/>
        </w:rPr>
      </w:pPr>
      <w:r>
        <w:rPr>
          <w:rFonts w:ascii="仿宋" w:hAnsi="仿宋" w:eastAsia="仿宋" w:cstheme="minorEastAsia"/>
          <w:b/>
          <w:bCs/>
        </w:rPr>
        <w:t>计算机科学与人工智能：</w:t>
      </w:r>
      <w:r>
        <w:rPr>
          <w:rFonts w:ascii="仿宋" w:hAnsi="仿宋" w:eastAsia="仿宋" w:cstheme="minorEastAsia"/>
        </w:rPr>
        <w:t>人工智能领域全美第11，总体排名第27。</w:t>
      </w:r>
      <w:r>
        <w:rPr>
          <w:rFonts w:ascii="仿宋" w:hAnsi="仿宋" w:eastAsia="仿宋" w:cstheme="minorEastAsia"/>
          <w:color w:val="EE0000"/>
        </w:rPr>
        <w:t>UCI拥有国际知名的UCI Machine Learning Repository数据库。</w:t>
      </w:r>
    </w:p>
    <w:p w14:paraId="17CEF613">
      <w:pPr>
        <w:widowControl/>
        <w:numPr>
          <w:ilvl w:val="1"/>
          <w:numId w:val="1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人文社科</w:t>
      </w:r>
      <w:r>
        <w:rPr>
          <w:rFonts w:ascii="仿宋" w:hAnsi="仿宋" w:eastAsia="仿宋" w:cstheme="minorEastAsia"/>
        </w:rPr>
        <w:t>：犯罪学全美第2，社会学全美第20，文学批评与理论第7。</w:t>
      </w:r>
    </w:p>
    <w:p w14:paraId="79C2E7FA">
      <w:pPr>
        <w:widowControl/>
        <w:numPr>
          <w:ilvl w:val="0"/>
          <w:numId w:val="1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地理位置</w:t>
      </w:r>
      <w:r>
        <w:rPr>
          <w:rFonts w:ascii="仿宋" w:hAnsi="仿宋" w:eastAsia="仿宋" w:cstheme="minorEastAsia"/>
        </w:rPr>
        <w:t>：位于全美十大安全城市</w:t>
      </w:r>
      <w:r>
        <w:rPr>
          <w:rFonts w:hint="eastAsia" w:ascii="仿宋" w:hAnsi="仿宋" w:eastAsia="仿宋" w:cstheme="minorEastAsia"/>
          <w:lang w:eastAsia="zh-CN"/>
        </w:rPr>
        <w:t>欧文</w:t>
      </w:r>
      <w:r>
        <w:rPr>
          <w:rFonts w:ascii="仿宋" w:hAnsi="仿宋" w:eastAsia="仿宋" w:cstheme="minorEastAsia"/>
        </w:rPr>
        <w:t>市，毗邻“南加州硅谷”，苹果、谷歌等科技巨头环绕。</w:t>
      </w:r>
    </w:p>
    <w:p w14:paraId="454A610C">
      <w:pPr>
        <w:widowControl/>
        <w:numPr>
          <w:ilvl w:val="0"/>
          <w:numId w:val="1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国际声誉</w:t>
      </w:r>
      <w:r>
        <w:rPr>
          <w:rFonts w:ascii="仿宋" w:hAnsi="仿宋" w:eastAsia="仿宋" w:cstheme="minorEastAsia"/>
        </w:rPr>
        <w:t>：软科世界大学学术排名第61位，泰晤士高等教育世界排名第92位。</w:t>
      </w:r>
    </w:p>
    <w:p w14:paraId="2CC0C962">
      <w:pPr>
        <w:widowControl/>
        <w:spacing w:before="100" w:beforeAutospacing="1" w:after="100" w:afterAutospacing="1" w:line="240" w:lineRule="auto"/>
        <w:ind w:firstLine="0"/>
        <w:jc w:val="left"/>
        <w:outlineLvl w:val="2"/>
        <w:rPr>
          <w:rFonts w:ascii="仿宋" w:hAnsi="仿宋" w:eastAsia="仿宋"/>
        </w:rPr>
      </w:pPr>
      <w:r>
        <w:rPr>
          <w:rFonts w:ascii="仿宋" w:hAnsi="仿宋" w:eastAsia="仿宋"/>
        </w:rPr>
        <w:drawing>
          <wp:inline distT="0" distB="0" distL="0" distR="0">
            <wp:extent cx="5434330" cy="1903730"/>
            <wp:effectExtent l="0" t="0" r="0" b="0"/>
            <wp:docPr id="6063268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326887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5887" cy="1935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8650BF">
      <w:pPr>
        <w:widowControl/>
        <w:spacing w:before="100" w:beforeAutospacing="1" w:after="100" w:afterAutospacing="1" w:line="240" w:lineRule="auto"/>
        <w:ind w:firstLine="0"/>
        <w:jc w:val="left"/>
        <w:outlineLvl w:val="2"/>
        <w:rPr>
          <w:rFonts w:ascii="仿宋" w:hAnsi="仿宋" w:eastAsia="仿宋" w:cstheme="minorEastAsia"/>
          <w:b/>
          <w:bCs/>
        </w:rPr>
      </w:pPr>
      <w:r>
        <w:rPr>
          <w:rFonts w:ascii="仿宋" w:hAnsi="仿宋" w:eastAsia="仿宋" w:cstheme="minorEastAsia"/>
          <w:b/>
          <w:bCs/>
        </w:rPr>
        <w:t>二、项目概述</w:t>
      </w:r>
    </w:p>
    <w:p w14:paraId="11D496DE">
      <w:pPr>
        <w:widowControl/>
        <w:spacing w:before="100" w:beforeAutospacing="1" w:after="100" w:afterAutospacing="1" w:line="240" w:lineRule="auto"/>
        <w:ind w:firstLine="0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项目名称</w:t>
      </w:r>
      <w:r>
        <w:rPr>
          <w:rFonts w:ascii="仿宋" w:hAnsi="仿宋" w:eastAsia="仿宋" w:cstheme="minorEastAsia"/>
        </w:rPr>
        <w:t>：</w:t>
      </w:r>
      <w:r>
        <w:rPr>
          <w:rFonts w:hint="eastAsia" w:ascii="仿宋" w:hAnsi="仿宋" w:eastAsia="仿宋" w:cstheme="minorEastAsia"/>
        </w:rPr>
        <w:t xml:space="preserve">G-STAR </w:t>
      </w:r>
      <w:r>
        <w:rPr>
          <w:rFonts w:ascii="仿宋" w:hAnsi="仿宋" w:eastAsia="仿宋" w:cstheme="minorEastAsia"/>
        </w:rPr>
        <w:t>3+1</w:t>
      </w:r>
      <w:r>
        <w:rPr>
          <w:rFonts w:hint="eastAsia" w:ascii="仿宋" w:hAnsi="仿宋" w:eastAsia="仿宋" w:cstheme="minorEastAsia"/>
        </w:rPr>
        <w:t xml:space="preserve"> Track</w:t>
      </w:r>
      <w:r>
        <w:rPr>
          <w:rFonts w:ascii="仿宋" w:hAnsi="仿宋" w:eastAsia="仿宋" w:cstheme="minorEastAsia"/>
        </w:rPr>
        <w:t>硕博联合培养项目</w:t>
      </w:r>
    </w:p>
    <w:p w14:paraId="65983EA2">
      <w:pPr>
        <w:widowControl/>
        <w:numPr>
          <w:ilvl w:val="0"/>
          <w:numId w:val="2"/>
        </w:numPr>
        <w:spacing w:after="60"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合作网络</w:t>
      </w:r>
      <w:r>
        <w:rPr>
          <w:rFonts w:ascii="仿宋" w:hAnsi="仿宋" w:eastAsia="仿宋" w:cstheme="minorEastAsia"/>
        </w:rPr>
        <w:t>：UCI已经跟80余所</w:t>
      </w:r>
      <w:r>
        <w:rPr>
          <w:rFonts w:ascii="仿宋" w:hAnsi="仿宋" w:eastAsia="仿宋" w:cstheme="minorEastAsia"/>
          <w:b/>
          <w:bCs/>
        </w:rPr>
        <w:t>中国高校合作，例如，</w:t>
      </w:r>
      <w:r>
        <w:rPr>
          <w:rFonts w:ascii="仿宋" w:hAnsi="仿宋" w:eastAsia="仿宋" w:cstheme="minorEastAsia"/>
        </w:rPr>
        <w:t>浙江大学、香港中文大学，等。</w:t>
      </w:r>
    </w:p>
    <w:p w14:paraId="1CA7CA36">
      <w:pPr>
        <w:widowControl/>
        <w:numPr>
          <w:ilvl w:val="0"/>
          <w:numId w:val="2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核心目标</w:t>
      </w:r>
      <w:r>
        <w:rPr>
          <w:rFonts w:ascii="仿宋" w:hAnsi="仿宋" w:eastAsia="仿宋" w:cstheme="minorEastAsia"/>
        </w:rPr>
        <w:t>：通过大四衔接课程与科研实践，无缝升读UCI或合作院校硕博学位。</w:t>
      </w:r>
    </w:p>
    <w:p w14:paraId="6C0528AB">
      <w:pPr>
        <w:widowControl/>
        <w:spacing w:line="240" w:lineRule="auto"/>
        <w:ind w:firstLine="0"/>
        <w:jc w:val="left"/>
        <w:rPr>
          <w:rFonts w:ascii="仿宋" w:hAnsi="仿宋" w:eastAsia="仿宋"/>
        </w:rPr>
      </w:pPr>
    </w:p>
    <w:p w14:paraId="160684F5">
      <w:pPr>
        <w:widowControl/>
        <w:spacing w:line="240" w:lineRule="auto"/>
        <w:ind w:firstLine="0"/>
        <w:jc w:val="left"/>
        <w:rPr>
          <w:rFonts w:ascii="仿宋" w:hAnsi="仿宋" w:eastAsia="仿宋"/>
        </w:rPr>
      </w:pPr>
    </w:p>
    <w:p w14:paraId="1CF62B06">
      <w:pPr>
        <w:widowControl/>
        <w:spacing w:before="100" w:beforeAutospacing="1" w:after="100" w:afterAutospacing="1" w:line="240" w:lineRule="auto"/>
        <w:ind w:firstLine="0"/>
        <w:jc w:val="left"/>
        <w:outlineLvl w:val="2"/>
        <w:rPr>
          <w:rFonts w:ascii="仿宋" w:hAnsi="仿宋" w:eastAsia="仿宋" w:cstheme="minorEastAsia"/>
          <w:b/>
          <w:bCs/>
        </w:rPr>
      </w:pPr>
      <w:r>
        <w:rPr>
          <w:rFonts w:ascii="仿宋" w:hAnsi="仿宋" w:eastAsia="仿宋" w:cstheme="minorEastAsia"/>
          <w:b/>
          <w:bCs/>
        </w:rPr>
        <w:t>三、核心优势</w:t>
      </w:r>
    </w:p>
    <w:p w14:paraId="2ADD453F">
      <w:pPr>
        <w:widowControl/>
        <w:spacing w:before="100" w:beforeAutospacing="1" w:after="100" w:afterAutospacing="1" w:line="240" w:lineRule="auto"/>
        <w:ind w:firstLine="0"/>
        <w:jc w:val="left"/>
        <w:outlineLvl w:val="3"/>
        <w:rPr>
          <w:rFonts w:ascii="仿宋" w:hAnsi="仿宋" w:eastAsia="仿宋" w:cstheme="minorEastAsia"/>
          <w:b/>
          <w:bCs/>
        </w:rPr>
      </w:pPr>
      <w:r>
        <w:rPr>
          <w:rFonts w:ascii="仿宋" w:hAnsi="仿宋" w:eastAsia="仿宋" w:cstheme="minorEastAsia"/>
          <w:b/>
          <w:bCs/>
        </w:rPr>
        <w:t>1. 学术竞争力提升</w:t>
      </w:r>
    </w:p>
    <w:p w14:paraId="05B640FB">
      <w:pPr>
        <w:widowControl/>
        <w:numPr>
          <w:ilvl w:val="0"/>
          <w:numId w:val="3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1400+前置</w:t>
      </w:r>
      <w:r>
        <w:rPr>
          <w:rFonts w:hint="eastAsia" w:ascii="仿宋" w:hAnsi="仿宋" w:eastAsia="仿宋" w:cstheme="minorEastAsia"/>
          <w:b/>
          <w:bCs/>
        </w:rPr>
        <w:t>学分</w:t>
      </w:r>
      <w:r>
        <w:rPr>
          <w:rFonts w:ascii="仿宋" w:hAnsi="仿宋" w:eastAsia="仿宋" w:cstheme="minorEastAsia"/>
          <w:b/>
          <w:bCs/>
        </w:rPr>
        <w:t>课程</w:t>
      </w:r>
      <w:r>
        <w:rPr>
          <w:rFonts w:ascii="仿宋" w:hAnsi="仿宋" w:eastAsia="仿宋" w:cstheme="minorEastAsia"/>
        </w:rPr>
        <w:t>：跨专业学生可补充背景课程（如：计算机转生物医学工程）。</w:t>
      </w:r>
    </w:p>
    <w:p w14:paraId="3BE78E69">
      <w:pPr>
        <w:widowControl/>
        <w:numPr>
          <w:ilvl w:val="0"/>
          <w:numId w:val="3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</w:rPr>
        <w:t>“</w:t>
      </w:r>
      <w:r>
        <w:rPr>
          <w:rFonts w:ascii="仿宋" w:hAnsi="仿宋" w:eastAsia="仿宋" w:cstheme="minorEastAsia"/>
          <w:b/>
          <w:bCs/>
        </w:rPr>
        <w:t>开放式”直申硕博通道</w:t>
      </w:r>
      <w:r>
        <w:rPr>
          <w:rFonts w:ascii="仿宋" w:hAnsi="仿宋" w:eastAsia="仿宋" w:cstheme="minorEastAsia"/>
        </w:rPr>
        <w:t>：学生</w:t>
      </w:r>
      <w:r>
        <w:rPr>
          <w:rFonts w:ascii="仿宋" w:hAnsi="仿宋" w:eastAsia="仿宋" w:cstheme="minorEastAsia"/>
          <w:color w:val="EE0000"/>
        </w:rPr>
        <w:t>可自由</w:t>
      </w:r>
      <w:r>
        <w:rPr>
          <w:rFonts w:ascii="仿宋" w:hAnsi="仿宋" w:eastAsia="仿宋" w:cstheme="minorEastAsia"/>
        </w:rPr>
        <w:t>申请各类大学，优秀学生经教授推荐可直接进入博士，节省1-2年时间与费用。</w:t>
      </w:r>
    </w:p>
    <w:p w14:paraId="0AF6C6F4">
      <w:pPr>
        <w:widowControl/>
        <w:numPr>
          <w:ilvl w:val="0"/>
          <w:numId w:val="3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科研资源</w:t>
      </w:r>
      <w:r>
        <w:rPr>
          <w:rFonts w:ascii="仿宋" w:hAnsi="仿宋" w:eastAsia="仿宋" w:cstheme="minorEastAsia"/>
        </w:rPr>
        <w:t>：接触美国创新产业生态和前沿行业案例。</w:t>
      </w:r>
    </w:p>
    <w:p w14:paraId="7551429F">
      <w:pPr>
        <w:widowControl/>
        <w:spacing w:before="100" w:beforeAutospacing="1" w:after="100" w:afterAutospacing="1" w:line="240" w:lineRule="auto"/>
        <w:ind w:firstLine="0"/>
        <w:jc w:val="left"/>
        <w:outlineLvl w:val="3"/>
        <w:rPr>
          <w:rFonts w:ascii="仿宋" w:hAnsi="仿宋" w:eastAsia="仿宋" w:cstheme="minorEastAsia"/>
          <w:b/>
          <w:bCs/>
        </w:rPr>
      </w:pPr>
      <w:r>
        <w:rPr>
          <w:rFonts w:ascii="仿宋" w:hAnsi="仿宋" w:eastAsia="仿宋" w:cstheme="minorEastAsia"/>
          <w:b/>
          <w:bCs/>
        </w:rPr>
        <w:t>2. 全学科 AI 赋能与职业溢价</w:t>
      </w:r>
    </w:p>
    <w:p w14:paraId="740FCD7A">
      <w:pPr>
        <w:pStyle w:val="24"/>
        <w:widowControl/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“AI + X” 跨学科选课：</w:t>
      </w:r>
      <w:r>
        <w:rPr>
          <w:rFonts w:ascii="仿宋" w:hAnsi="仿宋" w:eastAsia="仿宋" w:cstheme="minorEastAsia"/>
        </w:rPr>
        <w:t xml:space="preserve"> 数据科学、人工智能及数字化转型相关课程。</w:t>
      </w:r>
    </w:p>
    <w:p w14:paraId="23487DD9">
      <w:pPr>
        <w:widowControl/>
        <w:numPr>
          <w:ilvl w:val="0"/>
          <w:numId w:val="4"/>
        </w:numPr>
        <w:spacing w:before="100" w:beforeAutospacing="1" w:after="100" w:afterAutospacing="1" w:line="240" w:lineRule="auto"/>
        <w:ind w:firstLine="0"/>
        <w:jc w:val="left"/>
        <w:outlineLvl w:val="3"/>
        <w:rPr>
          <w:rFonts w:ascii="仿宋" w:hAnsi="仿宋" w:eastAsia="仿宋" w:cstheme="minorEastAsia"/>
          <w:b/>
          <w:bCs/>
        </w:rPr>
      </w:pPr>
      <w:bookmarkStart w:id="1" w:name="_GoBack"/>
      <w:bookmarkEnd w:id="1"/>
      <w:r>
        <w:rPr>
          <w:rFonts w:ascii="仿宋" w:hAnsi="仿宋" w:eastAsia="仿宋" w:cstheme="minorEastAsia"/>
          <w:b/>
          <w:bCs/>
        </w:rPr>
        <w:t>职业发展保障</w:t>
      </w:r>
    </w:p>
    <w:p w14:paraId="2F10B0D2">
      <w:pPr>
        <w:widowControl/>
        <w:numPr>
          <w:ilvl w:val="0"/>
          <w:numId w:val="5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STEM专业</w:t>
      </w:r>
      <w:r>
        <w:rPr>
          <w:rFonts w:hint="eastAsia" w:ascii="仿宋" w:hAnsi="仿宋" w:eastAsia="仿宋" w:cstheme="minorEastAsia"/>
          <w:b/>
          <w:bCs/>
        </w:rPr>
        <w:t>最高</w:t>
      </w:r>
      <w:r>
        <w:rPr>
          <w:rFonts w:ascii="仿宋" w:hAnsi="仿宋" w:eastAsia="仿宋" w:cstheme="minorEastAsia"/>
          <w:b/>
          <w:bCs/>
        </w:rPr>
        <w:t>OPT三年</w:t>
      </w:r>
      <w:r>
        <w:rPr>
          <w:rFonts w:ascii="仿宋" w:hAnsi="仿宋" w:eastAsia="仿宋" w:cstheme="minorEastAsia"/>
        </w:rPr>
        <w:t>：留美工作年薪中位数$8万+（数据科学、工程等领域）。</w:t>
      </w:r>
    </w:p>
    <w:p w14:paraId="2E5C2A9A">
      <w:pPr>
        <w:widowControl/>
        <w:numPr>
          <w:ilvl w:val="0"/>
          <w:numId w:val="5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实习合作企业</w:t>
      </w:r>
      <w:r>
        <w:rPr>
          <w:rFonts w:ascii="仿宋" w:hAnsi="仿宋" w:eastAsia="仿宋" w:cstheme="minorEastAsia"/>
        </w:rPr>
        <w:t>：南加州拥有丰富的科技与创新企业资源，与本校生享同等资源。</w:t>
      </w:r>
    </w:p>
    <w:p w14:paraId="20DB2645">
      <w:pPr>
        <w:widowControl/>
        <w:numPr>
          <w:ilvl w:val="0"/>
          <w:numId w:val="5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校友网络</w:t>
      </w:r>
      <w:r>
        <w:rPr>
          <w:rFonts w:ascii="仿宋" w:hAnsi="仿宋" w:eastAsia="仿宋" w:cstheme="minorEastAsia"/>
        </w:rPr>
        <w:t>：覆盖硅谷、华尔街，助力全球就业。</w:t>
      </w:r>
    </w:p>
    <w:p w14:paraId="58419CF8">
      <w:pPr>
        <w:widowControl/>
        <w:spacing w:before="100" w:beforeAutospacing="1" w:after="100" w:afterAutospacing="1" w:line="240" w:lineRule="auto"/>
        <w:ind w:firstLine="0"/>
        <w:jc w:val="left"/>
        <w:outlineLvl w:val="3"/>
        <w:rPr>
          <w:rFonts w:ascii="仿宋" w:hAnsi="仿宋" w:eastAsia="仿宋" w:cstheme="minorEastAsia"/>
          <w:b/>
          <w:bCs/>
        </w:rPr>
      </w:pPr>
      <w:r>
        <w:rPr>
          <w:rFonts w:ascii="仿宋" w:hAnsi="仿宋" w:eastAsia="仿宋" w:cstheme="minorEastAsia"/>
          <w:b/>
          <w:bCs/>
        </w:rPr>
        <w:t xml:space="preserve">4. </w:t>
      </w:r>
      <w:r>
        <w:rPr>
          <w:rFonts w:hint="eastAsia" w:ascii="仿宋" w:hAnsi="仿宋" w:eastAsia="仿宋" w:cstheme="minorEastAsia"/>
          <w:b/>
          <w:bCs/>
        </w:rPr>
        <w:t>研究生</w:t>
      </w:r>
      <w:r>
        <w:rPr>
          <w:rFonts w:ascii="仿宋" w:hAnsi="仿宋" w:eastAsia="仿宋" w:cstheme="minorEastAsia"/>
          <w:b/>
          <w:bCs/>
        </w:rPr>
        <w:t>申请便利政策</w:t>
      </w:r>
    </w:p>
    <w:p w14:paraId="682FAF42">
      <w:pPr>
        <w:widowControl/>
        <w:numPr>
          <w:ilvl w:val="0"/>
          <w:numId w:val="6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免标化成绩</w:t>
      </w:r>
      <w:r>
        <w:rPr>
          <w:rFonts w:ascii="仿宋" w:hAnsi="仿宋" w:eastAsia="仿宋" w:cstheme="minorEastAsia"/>
        </w:rPr>
        <w:t>：UCI部分专业和合作院校豁免GRE/GMAT。</w:t>
      </w:r>
    </w:p>
    <w:p w14:paraId="66006982">
      <w:pPr>
        <w:widowControl/>
        <w:spacing w:line="240" w:lineRule="auto"/>
        <w:ind w:firstLine="0"/>
        <w:jc w:val="left"/>
        <w:rPr>
          <w:rFonts w:ascii="仿宋" w:hAnsi="仿宋" w:eastAsia="仿宋"/>
        </w:rPr>
      </w:pPr>
    </w:p>
    <w:p w14:paraId="38DC9172">
      <w:pPr>
        <w:widowControl/>
        <w:spacing w:before="100" w:beforeAutospacing="1" w:after="100" w:afterAutospacing="1" w:line="240" w:lineRule="auto"/>
        <w:ind w:firstLine="0"/>
        <w:jc w:val="left"/>
        <w:outlineLvl w:val="2"/>
        <w:rPr>
          <w:rFonts w:ascii="仿宋" w:hAnsi="仿宋" w:eastAsia="仿宋" w:cstheme="minorEastAsia"/>
          <w:b/>
          <w:bCs/>
        </w:rPr>
      </w:pPr>
      <w:r>
        <w:rPr>
          <w:rFonts w:ascii="仿宋" w:hAnsi="仿宋" w:eastAsia="仿宋" w:cstheme="minorEastAsia"/>
          <w:b/>
          <w:bCs/>
        </w:rPr>
        <w:t>四、美国就业与安全性详解</w:t>
      </w:r>
    </w:p>
    <w:p w14:paraId="00C48781">
      <w:pPr>
        <w:widowControl/>
        <w:spacing w:before="100" w:beforeAutospacing="1" w:after="100" w:afterAutospacing="1" w:line="240" w:lineRule="auto"/>
        <w:ind w:firstLine="0"/>
        <w:jc w:val="left"/>
        <w:outlineLvl w:val="3"/>
        <w:rPr>
          <w:rFonts w:ascii="仿宋" w:hAnsi="仿宋" w:eastAsia="仿宋" w:cstheme="minorEastAsia"/>
          <w:b/>
          <w:bCs/>
        </w:rPr>
      </w:pPr>
      <w:r>
        <w:rPr>
          <w:rFonts w:ascii="仿宋" w:hAnsi="仿宋" w:eastAsia="仿宋" w:cstheme="minorEastAsia"/>
          <w:b/>
          <w:bCs/>
        </w:rPr>
        <w:t>就业优势</w:t>
      </w:r>
    </w:p>
    <w:p w14:paraId="0E8EFF1D">
      <w:pPr>
        <w:widowControl/>
        <w:numPr>
          <w:ilvl w:val="0"/>
          <w:numId w:val="7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OPT三年留美</w:t>
      </w:r>
      <w:r>
        <w:rPr>
          <w:rFonts w:ascii="仿宋" w:hAnsi="仿宋" w:eastAsia="仿宋" w:cstheme="minorEastAsia"/>
        </w:rPr>
        <w:t>：STEM专业学生可全职工作，留学成本快速回本。</w:t>
      </w:r>
    </w:p>
    <w:p w14:paraId="38175435">
      <w:pPr>
        <w:widowControl/>
        <w:numPr>
          <w:ilvl w:val="0"/>
          <w:numId w:val="7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回国竞争力</w:t>
      </w:r>
      <w:r>
        <w:rPr>
          <w:rFonts w:ascii="仿宋" w:hAnsi="仿宋" w:eastAsia="仿宋" w:cstheme="minorEastAsia"/>
        </w:rPr>
        <w:t>：名企实习+UCI学历，起薪较国内同类岗位高30%。</w:t>
      </w:r>
    </w:p>
    <w:p w14:paraId="720639B3">
      <w:pPr>
        <w:widowControl/>
        <w:spacing w:before="100" w:beforeAutospacing="1" w:after="100" w:afterAutospacing="1" w:line="240" w:lineRule="auto"/>
        <w:ind w:firstLine="0"/>
        <w:jc w:val="left"/>
        <w:outlineLvl w:val="3"/>
        <w:rPr>
          <w:rFonts w:ascii="仿宋" w:hAnsi="仿宋" w:eastAsia="仿宋" w:cstheme="minorEastAsia"/>
          <w:b/>
          <w:bCs/>
        </w:rPr>
      </w:pPr>
      <w:r>
        <w:rPr>
          <w:rFonts w:ascii="仿宋" w:hAnsi="仿宋" w:eastAsia="仿宋" w:cstheme="minorEastAsia"/>
          <w:b/>
          <w:bCs/>
        </w:rPr>
        <w:t>安全性保障</w:t>
      </w:r>
    </w:p>
    <w:p w14:paraId="73E07246">
      <w:pPr>
        <w:widowControl/>
        <w:numPr>
          <w:ilvl w:val="0"/>
          <w:numId w:val="8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城市安全</w:t>
      </w:r>
      <w:r>
        <w:rPr>
          <w:rFonts w:ascii="仿宋" w:hAnsi="仿宋" w:eastAsia="仿宋" w:cstheme="minorEastAsia"/>
        </w:rPr>
        <w:t>：</w:t>
      </w:r>
      <w:r>
        <w:rPr>
          <w:rFonts w:hint="eastAsia" w:ascii="仿宋" w:hAnsi="仿宋" w:eastAsia="仿宋" w:cstheme="minorEastAsia"/>
          <w:lang w:eastAsia="zh-CN"/>
        </w:rPr>
        <w:t>欧文</w:t>
      </w:r>
      <w:r>
        <w:rPr>
          <w:rFonts w:ascii="仿宋" w:hAnsi="仿宋" w:eastAsia="仿宋" w:cstheme="minorEastAsia"/>
        </w:rPr>
        <w:t>市犯罪率极低，多年位列全美十大安全城市。</w:t>
      </w:r>
    </w:p>
    <w:p w14:paraId="26D6E4FF">
      <w:pPr>
        <w:widowControl/>
        <w:numPr>
          <w:ilvl w:val="0"/>
          <w:numId w:val="8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校园支持</w:t>
      </w:r>
      <w:r>
        <w:rPr>
          <w:rFonts w:ascii="仿宋" w:hAnsi="仿宋" w:eastAsia="仿宋" w:cstheme="minorEastAsia"/>
        </w:rPr>
        <w:t>：心理、法律、24小时安保，全方位保障学生权益。</w:t>
      </w:r>
    </w:p>
    <w:p w14:paraId="1D1BCF0C">
      <w:pPr>
        <w:widowControl/>
        <w:spacing w:before="100" w:beforeAutospacing="1" w:after="100" w:afterAutospacing="1" w:line="240" w:lineRule="auto"/>
        <w:ind w:firstLine="0"/>
        <w:jc w:val="left"/>
        <w:outlineLvl w:val="2"/>
        <w:rPr>
          <w:rFonts w:ascii="仿宋" w:hAnsi="仿宋" w:eastAsia="仿宋" w:cstheme="minorEastAsia"/>
          <w:b/>
          <w:bCs/>
        </w:rPr>
      </w:pPr>
      <w:r>
        <w:rPr>
          <w:rFonts w:ascii="仿宋" w:hAnsi="仿宋" w:eastAsia="仿宋" w:cstheme="minorEastAsia"/>
          <w:b/>
          <w:bCs/>
        </w:rPr>
        <w:t>五、学术与费用详情</w:t>
      </w:r>
    </w:p>
    <w:p w14:paraId="4EE2D2FB">
      <w:pPr>
        <w:widowControl/>
        <w:spacing w:before="100" w:beforeAutospacing="1" w:after="100" w:afterAutospacing="1" w:line="240" w:lineRule="auto"/>
        <w:ind w:firstLine="0"/>
        <w:jc w:val="left"/>
        <w:outlineLvl w:val="3"/>
        <w:rPr>
          <w:rFonts w:ascii="仿宋" w:hAnsi="仿宋" w:eastAsia="仿宋" w:cstheme="minorEastAsia"/>
          <w:b/>
          <w:bCs/>
        </w:rPr>
      </w:pPr>
      <w:r>
        <w:rPr>
          <w:rFonts w:ascii="仿宋" w:hAnsi="仿宋" w:eastAsia="仿宋" w:cstheme="minorEastAsia"/>
          <w:b/>
          <w:bCs/>
        </w:rPr>
        <w:t>学术要求</w:t>
      </w:r>
    </w:p>
    <w:p w14:paraId="6EC4B5EE">
      <w:pPr>
        <w:widowControl/>
        <w:numPr>
          <w:ilvl w:val="0"/>
          <w:numId w:val="9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GPA</w:t>
      </w:r>
      <w:r>
        <w:rPr>
          <w:rFonts w:ascii="仿宋" w:hAnsi="仿宋" w:eastAsia="仿宋" w:cstheme="minorEastAsia"/>
        </w:rPr>
        <w:t>：3.0，需完成至少三年本科课程。</w:t>
      </w:r>
    </w:p>
    <w:p w14:paraId="0B8467FF">
      <w:pPr>
        <w:widowControl/>
        <w:numPr>
          <w:ilvl w:val="0"/>
          <w:numId w:val="9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语言要求</w:t>
      </w:r>
      <w:r>
        <w:rPr>
          <w:rFonts w:ascii="仿宋" w:hAnsi="仿宋" w:eastAsia="仿宋" w:cstheme="minorEastAsia"/>
        </w:rPr>
        <w:t>：</w:t>
      </w:r>
    </w:p>
    <w:p w14:paraId="1403CD1C">
      <w:pPr>
        <w:widowControl/>
        <w:spacing w:line="240" w:lineRule="auto"/>
        <w:ind w:left="720"/>
        <w:jc w:val="left"/>
        <w:rPr>
          <w:rFonts w:ascii="仿宋" w:hAnsi="仿宋" w:eastAsia="仿宋" w:cstheme="minorEastAsia"/>
        </w:rPr>
      </w:pPr>
    </w:p>
    <w:tbl>
      <w:tblPr>
        <w:tblStyle w:val="17"/>
        <w:tblW w:w="7707" w:type="dxa"/>
        <w:tblInd w:w="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50"/>
        <w:gridCol w:w="1650"/>
        <w:gridCol w:w="1350"/>
        <w:gridCol w:w="2157"/>
      </w:tblGrid>
      <w:tr w14:paraId="2BCC2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tblHeader/>
        </w:trPr>
        <w:tc>
          <w:tcPr>
            <w:tcW w:w="2550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719650EA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  <w:b/>
                <w:bCs/>
              </w:rPr>
            </w:pPr>
            <w:r>
              <w:rPr>
                <w:rFonts w:ascii="仿宋" w:hAnsi="仿宋" w:eastAsia="仿宋" w:cstheme="minorEastAsia"/>
                <w:b/>
                <w:bCs/>
              </w:rPr>
              <w:t>方向</w:t>
            </w:r>
          </w:p>
        </w:tc>
        <w:tc>
          <w:tcPr>
            <w:tcW w:w="1650" w:type="dxa"/>
            <w:vAlign w:val="center"/>
          </w:tcPr>
          <w:p w14:paraId="2EAB1273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  <w:b/>
                <w:bCs/>
              </w:rPr>
            </w:pPr>
            <w:r>
              <w:rPr>
                <w:rFonts w:ascii="仿宋" w:hAnsi="仿宋" w:eastAsia="仿宋" w:cstheme="minorEastAsia"/>
                <w:b/>
                <w:bCs/>
              </w:rPr>
              <w:t>托福</w:t>
            </w:r>
          </w:p>
        </w:tc>
        <w:tc>
          <w:tcPr>
            <w:tcW w:w="1350" w:type="dxa"/>
            <w:vAlign w:val="center"/>
          </w:tcPr>
          <w:p w14:paraId="1DA69745">
            <w:pPr>
              <w:spacing w:line="240" w:lineRule="auto"/>
              <w:ind w:firstLine="0"/>
              <w:jc w:val="left"/>
              <w:rPr>
                <w:rFonts w:ascii="仿宋" w:hAnsi="仿宋" w:eastAsia="仿宋" w:cstheme="minorEastAsia"/>
                <w:b/>
                <w:bCs/>
              </w:rPr>
            </w:pPr>
            <w:r>
              <w:rPr>
                <w:rFonts w:ascii="仿宋" w:hAnsi="仿宋" w:eastAsia="仿宋" w:cstheme="minorEastAsia"/>
                <w:b/>
                <w:bCs/>
              </w:rPr>
              <w:t>多邻国</w:t>
            </w:r>
          </w:p>
        </w:tc>
        <w:tc>
          <w:tcPr>
            <w:tcW w:w="2157" w:type="dxa"/>
            <w:vAlign w:val="center"/>
          </w:tcPr>
          <w:p w14:paraId="73EF9FEA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  <w:b/>
                <w:bCs/>
              </w:rPr>
            </w:pPr>
            <w:r>
              <w:rPr>
                <w:rFonts w:ascii="仿宋" w:hAnsi="仿宋" w:eastAsia="仿宋" w:cstheme="minorEastAsia"/>
                <w:b/>
                <w:bCs/>
              </w:rPr>
              <w:t>雅思</w:t>
            </w:r>
          </w:p>
        </w:tc>
      </w:tr>
      <w:tr w14:paraId="28E54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2550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52FFCA3D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  <w:lang w:val="en-CA"/>
              </w:rPr>
            </w:pPr>
            <w:r>
              <w:rPr>
                <w:rFonts w:ascii="仿宋" w:hAnsi="仿宋" w:eastAsia="仿宋" w:cstheme="minorEastAsia"/>
              </w:rPr>
              <w:t>工程</w:t>
            </w:r>
            <w:r>
              <w:rPr>
                <w:rFonts w:ascii="仿宋" w:hAnsi="仿宋" w:eastAsia="仿宋" w:cstheme="minorEastAsia"/>
                <w:lang w:val="en-CA"/>
              </w:rPr>
              <w:t xml:space="preserve"> (GPA=3.3)</w:t>
            </w:r>
          </w:p>
        </w:tc>
        <w:tc>
          <w:tcPr>
            <w:tcW w:w="1650" w:type="dxa"/>
            <w:vAlign w:val="center"/>
          </w:tcPr>
          <w:p w14:paraId="39FE61F3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</w:rPr>
              <w:t>85</w:t>
            </w:r>
          </w:p>
        </w:tc>
        <w:tc>
          <w:tcPr>
            <w:tcW w:w="1350" w:type="dxa"/>
            <w:vAlign w:val="center"/>
          </w:tcPr>
          <w:p w14:paraId="07E025BE">
            <w:pPr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</w:p>
        </w:tc>
        <w:tc>
          <w:tcPr>
            <w:tcW w:w="2157" w:type="dxa"/>
            <w:vAlign w:val="center"/>
          </w:tcPr>
          <w:p w14:paraId="6F006E4F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</w:rPr>
              <w:t>7.0</w:t>
            </w:r>
          </w:p>
        </w:tc>
      </w:tr>
      <w:tr w14:paraId="7899C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2550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16B99C81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</w:rPr>
              <w:t>数学、计算机、文科</w:t>
            </w:r>
          </w:p>
        </w:tc>
        <w:tc>
          <w:tcPr>
            <w:tcW w:w="1650" w:type="dxa"/>
            <w:vAlign w:val="center"/>
          </w:tcPr>
          <w:p w14:paraId="69B5D0CF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</w:rPr>
              <w:t>71</w:t>
            </w:r>
          </w:p>
        </w:tc>
        <w:tc>
          <w:tcPr>
            <w:tcW w:w="1350" w:type="dxa"/>
            <w:vAlign w:val="center"/>
          </w:tcPr>
          <w:p w14:paraId="5F39968B">
            <w:pPr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</w:rPr>
              <w:t>95</w:t>
            </w:r>
          </w:p>
        </w:tc>
        <w:tc>
          <w:tcPr>
            <w:tcW w:w="2157" w:type="dxa"/>
            <w:vAlign w:val="center"/>
          </w:tcPr>
          <w:p w14:paraId="7F188E21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</w:rPr>
              <w:t>6.0</w:t>
            </w:r>
          </w:p>
        </w:tc>
      </w:tr>
    </w:tbl>
    <w:p w14:paraId="3E5E1AE4">
      <w:pPr>
        <w:widowControl/>
        <w:spacing w:before="100" w:beforeAutospacing="1" w:after="100" w:afterAutospacing="1" w:line="240" w:lineRule="auto"/>
        <w:ind w:firstLine="0"/>
        <w:jc w:val="left"/>
        <w:outlineLvl w:val="3"/>
        <w:rPr>
          <w:rFonts w:ascii="仿宋" w:hAnsi="仿宋" w:eastAsia="仿宋" w:cstheme="minorEastAsia"/>
          <w:b/>
          <w:bCs/>
        </w:rPr>
      </w:pPr>
      <w:r>
        <w:rPr>
          <w:rFonts w:ascii="仿宋" w:hAnsi="仿宋" w:eastAsia="仿宋" w:cstheme="minorEastAsia"/>
          <w:b/>
          <w:bCs/>
        </w:rPr>
        <w:t>费用明细</w:t>
      </w:r>
    </w:p>
    <w:p w14:paraId="3B3A67D5">
      <w:pPr>
        <w:widowControl/>
        <w:numPr>
          <w:ilvl w:val="0"/>
          <w:numId w:val="10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本科第四年学费</w:t>
      </w:r>
      <w:r>
        <w:rPr>
          <w:rFonts w:ascii="仿宋" w:hAnsi="仿宋" w:eastAsia="仿宋" w:cstheme="minorEastAsia"/>
        </w:rPr>
        <w:t>：$32,0</w:t>
      </w:r>
      <w:r>
        <w:rPr>
          <w:rFonts w:hint="eastAsia" w:ascii="仿宋" w:hAnsi="仿宋" w:eastAsia="仿宋" w:cstheme="minorEastAsia"/>
        </w:rPr>
        <w:t>50</w:t>
      </w:r>
      <w:r>
        <w:rPr>
          <w:rFonts w:ascii="仿宋" w:hAnsi="仿宋" w:eastAsia="仿宋" w:cstheme="minorEastAsia"/>
        </w:rPr>
        <w:t>/3学期（工程/人文</w:t>
      </w:r>
      <w:r>
        <w:rPr>
          <w:rFonts w:ascii="仿宋" w:hAnsi="仿宋" w:eastAsia="仿宋" w:cstheme="minorEastAsia"/>
          <w:lang w:val="en-CA"/>
        </w:rPr>
        <w:t>/数据科学</w:t>
      </w:r>
      <w:r>
        <w:rPr>
          <w:rFonts w:ascii="仿宋" w:hAnsi="仿宋" w:eastAsia="仿宋" w:cstheme="minorEastAsia"/>
        </w:rPr>
        <w:t>）</w:t>
      </w:r>
    </w:p>
    <w:p w14:paraId="4AAE2966">
      <w:pPr>
        <w:widowControl/>
        <w:numPr>
          <w:ilvl w:val="0"/>
          <w:numId w:val="10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研究生阶段学费</w:t>
      </w:r>
      <w:r>
        <w:rPr>
          <w:rFonts w:ascii="仿宋" w:hAnsi="仿宋" w:eastAsia="仿宋" w:cstheme="minorEastAsia"/>
        </w:rPr>
        <w:t>：$32,000</w:t>
      </w:r>
      <w:r>
        <w:rPr>
          <w:rFonts w:ascii="Cambria Math" w:hAnsi="Cambria Math" w:eastAsia="仿宋" w:cs="Cambria Math"/>
        </w:rPr>
        <w:t>−</w:t>
      </w:r>
      <w:r>
        <w:rPr>
          <w:rFonts w:ascii="仿宋" w:hAnsi="仿宋" w:eastAsia="仿宋" w:cstheme="minorEastAsia"/>
        </w:rPr>
        <w:t>48,000/年。</w:t>
      </w:r>
    </w:p>
    <w:p w14:paraId="167711C9">
      <w:pPr>
        <w:widowControl/>
        <w:numPr>
          <w:ilvl w:val="0"/>
          <w:numId w:val="10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博士生活津贴</w:t>
      </w:r>
      <w:r>
        <w:rPr>
          <w:rFonts w:ascii="仿宋" w:hAnsi="仿宋" w:eastAsia="仿宋" w:cstheme="minorEastAsia"/>
        </w:rPr>
        <w:t>：$25,000</w:t>
      </w:r>
      <w:r>
        <w:rPr>
          <w:rFonts w:ascii="Cambria Math" w:hAnsi="Cambria Math" w:eastAsia="仿宋" w:cs="Cambria Math"/>
        </w:rPr>
        <w:t>−</w:t>
      </w:r>
      <w:r>
        <w:rPr>
          <w:rFonts w:ascii="仿宋" w:hAnsi="仿宋" w:eastAsia="仿宋" w:cstheme="minorEastAsia"/>
        </w:rPr>
        <w:t>25,000</w:t>
      </w:r>
      <w:r>
        <w:rPr>
          <w:rFonts w:ascii="Cambria Math" w:hAnsi="Cambria Math" w:eastAsia="仿宋" w:cs="Cambria Math"/>
        </w:rPr>
        <w:t>−</w:t>
      </w:r>
      <w:r>
        <w:rPr>
          <w:rFonts w:ascii="仿宋" w:hAnsi="仿宋" w:eastAsia="仿宋" w:cstheme="minorEastAsia"/>
        </w:rPr>
        <w:t>35,000/年。</w:t>
      </w:r>
    </w:p>
    <w:p w14:paraId="722878CB">
      <w:pPr>
        <w:widowControl/>
        <w:spacing w:line="240" w:lineRule="auto"/>
        <w:ind w:left="720" w:firstLine="0"/>
        <w:jc w:val="left"/>
        <w:rPr>
          <w:rFonts w:ascii="仿宋" w:hAnsi="仿宋" w:eastAsia="仿宋" w:cstheme="minorEastAsia"/>
        </w:rPr>
      </w:pPr>
    </w:p>
    <w:p w14:paraId="70F21CCA">
      <w:pPr>
        <w:widowControl/>
        <w:spacing w:line="240" w:lineRule="auto"/>
        <w:ind w:firstLine="0"/>
        <w:jc w:val="left"/>
        <w:rPr>
          <w:rFonts w:ascii="仿宋" w:hAnsi="仿宋" w:eastAsia="仿宋" w:cstheme="minorEastAsia"/>
        </w:rPr>
      </w:pPr>
      <w:r>
        <w:rPr>
          <w:rFonts w:ascii="Segoe UI Emoji" w:hAnsi="Segoe UI Emoji" w:eastAsia="仿宋" w:cs="Segoe UI Emoji"/>
          <w:b/>
          <w:bCs/>
        </w:rPr>
        <w:t>💡</w:t>
      </w:r>
      <w:r>
        <w:rPr>
          <w:rFonts w:ascii="仿宋" w:hAnsi="仿宋" w:eastAsia="仿宋" w:cstheme="minorEastAsia"/>
          <w:b/>
          <w:bCs/>
        </w:rPr>
        <w:t xml:space="preserve"> 经济环境下的投资建议：</w:t>
      </w:r>
      <w:r>
        <w:rPr>
          <w:rFonts w:ascii="仿宋" w:hAnsi="仿宋" w:eastAsia="仿宋" w:cstheme="minorEastAsia"/>
        </w:rPr>
        <w:t xml:space="preserve"> 该项目通过 </w:t>
      </w:r>
      <w:r>
        <w:rPr>
          <w:rFonts w:ascii="仿宋" w:hAnsi="仿宋" w:eastAsia="仿宋" w:cstheme="minorEastAsia"/>
          <w:b/>
          <w:bCs/>
        </w:rPr>
        <w:t>30% 的学费优惠</w:t>
      </w:r>
      <w:r>
        <w:rPr>
          <w:rFonts w:ascii="仿宋" w:hAnsi="仿宋" w:eastAsia="仿宋" w:cstheme="minorEastAsia"/>
        </w:rPr>
        <w:t xml:space="preserve">（立省约 15 万人民币）和 </w:t>
      </w:r>
      <w:r>
        <w:rPr>
          <w:rFonts w:ascii="仿宋" w:hAnsi="仿宋" w:eastAsia="仿宋" w:cstheme="minorEastAsia"/>
          <w:b/>
          <w:bCs/>
        </w:rPr>
        <w:t>3 年 OPT 工作机会</w:t>
      </w:r>
      <w:r>
        <w:rPr>
          <w:rFonts w:ascii="仿宋" w:hAnsi="仿宋" w:eastAsia="仿宋" w:cstheme="minorEastAsia"/>
        </w:rPr>
        <w:t>，为家庭提供了极高的风险对冲。相比传统留学，3+1+Access 模式通过“</w:t>
      </w:r>
      <w:r>
        <w:rPr>
          <w:rFonts w:hint="eastAsia" w:ascii="仿宋" w:hAnsi="仿宋" w:eastAsia="仿宋" w:cstheme="minorEastAsia"/>
        </w:rPr>
        <w:t>学分</w:t>
      </w:r>
      <w:r>
        <w:rPr>
          <w:rFonts w:ascii="仿宋" w:hAnsi="仿宋" w:eastAsia="仿宋" w:cstheme="minorEastAsia"/>
        </w:rPr>
        <w:t xml:space="preserve"> + 技能转型 + 费用缩减”的三重组合，</w:t>
      </w:r>
      <w:r>
        <w:rPr>
          <w:rFonts w:ascii="仿宋" w:hAnsi="仿宋" w:eastAsia="仿宋" w:cstheme="minorEastAsia"/>
          <w:b/>
          <w:bCs/>
        </w:rPr>
        <w:t>是目前性价比最优的赴美硕、博进修路径。</w:t>
      </w:r>
    </w:p>
    <w:p w14:paraId="13476A3F">
      <w:pPr>
        <w:widowControl/>
        <w:spacing w:before="100" w:beforeAutospacing="1" w:afterAutospacing="1" w:line="240" w:lineRule="auto"/>
        <w:ind w:firstLine="0"/>
        <w:jc w:val="left"/>
        <w:outlineLvl w:val="2"/>
        <w:rPr>
          <w:rFonts w:ascii="仿宋" w:hAnsi="仿宋" w:eastAsia="仿宋" w:cstheme="minorEastAsia"/>
          <w:b/>
          <w:bCs/>
        </w:rPr>
      </w:pPr>
      <w:r>
        <w:rPr>
          <w:rFonts w:ascii="仿宋" w:hAnsi="仿宋" w:eastAsia="仿宋" w:cstheme="minorEastAsia"/>
          <w:b/>
          <w:bCs/>
        </w:rPr>
        <w:t>六、2027申请季开学与申请截止日期</w:t>
      </w:r>
    </w:p>
    <w:tbl>
      <w:tblPr>
        <w:tblStyle w:val="17"/>
        <w:tblW w:w="83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39"/>
        <w:gridCol w:w="1276"/>
        <w:gridCol w:w="1985"/>
        <w:gridCol w:w="2710"/>
        <w:gridCol w:w="1259"/>
      </w:tblGrid>
      <w:tr w14:paraId="4F79B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13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35C3A5EA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  <w:b/>
                <w:bCs/>
              </w:rPr>
            </w:pPr>
            <w:r>
              <w:rPr>
                <w:rFonts w:ascii="仿宋" w:hAnsi="仿宋" w:eastAsia="仿宋" w:cstheme="minorEastAsia"/>
                <w:b/>
                <w:bCs/>
              </w:rPr>
              <w:t>专业方向</w:t>
            </w:r>
          </w:p>
        </w:tc>
        <w:tc>
          <w:tcPr>
            <w:tcW w:w="1276" w:type="dxa"/>
            <w:vAlign w:val="center"/>
          </w:tcPr>
          <w:p w14:paraId="2DC0D03C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  <w:b/>
                <w:bCs/>
              </w:rPr>
            </w:pPr>
            <w:r>
              <w:rPr>
                <w:rFonts w:ascii="仿宋" w:hAnsi="仿宋" w:eastAsia="仿宋" w:cstheme="minorEastAsia"/>
                <w:b/>
                <w:bCs/>
              </w:rPr>
              <w:t>开学学期</w:t>
            </w:r>
          </w:p>
        </w:tc>
        <w:tc>
          <w:tcPr>
            <w:tcW w:w="1985" w:type="dxa"/>
            <w:vAlign w:val="center"/>
          </w:tcPr>
          <w:p w14:paraId="5901598C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  <w:b/>
                <w:bCs/>
              </w:rPr>
            </w:pPr>
            <w:r>
              <w:rPr>
                <w:rFonts w:ascii="仿宋" w:hAnsi="仿宋" w:eastAsia="仿宋" w:cstheme="minorEastAsia"/>
                <w:b/>
                <w:bCs/>
              </w:rPr>
              <w:t>开学日期</w:t>
            </w:r>
          </w:p>
        </w:tc>
        <w:tc>
          <w:tcPr>
            <w:tcW w:w="2710" w:type="dxa"/>
            <w:vAlign w:val="center"/>
          </w:tcPr>
          <w:p w14:paraId="23D54234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  <w:b/>
                <w:bCs/>
              </w:rPr>
            </w:pPr>
            <w:r>
              <w:rPr>
                <w:rFonts w:ascii="仿宋" w:hAnsi="仿宋" w:eastAsia="仿宋" w:cstheme="minorEastAsia"/>
                <w:b/>
                <w:bCs/>
              </w:rPr>
              <w:t>申请截止</w:t>
            </w:r>
          </w:p>
        </w:tc>
        <w:tc>
          <w:tcPr>
            <w:tcW w:w="1259" w:type="dxa"/>
            <w:vAlign w:val="center"/>
          </w:tcPr>
          <w:p w14:paraId="47597F69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  <w:b/>
                <w:bCs/>
              </w:rPr>
            </w:pPr>
            <w:r>
              <w:rPr>
                <w:rFonts w:ascii="仿宋" w:hAnsi="仿宋" w:eastAsia="仿宋" w:cstheme="minorEastAsia"/>
                <w:b/>
                <w:bCs/>
              </w:rPr>
              <w:t>面试时间</w:t>
            </w:r>
          </w:p>
        </w:tc>
      </w:tr>
      <w:tr w14:paraId="0B73F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0AEE5668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</w:rPr>
              <w:t>工程</w:t>
            </w:r>
          </w:p>
        </w:tc>
        <w:tc>
          <w:tcPr>
            <w:tcW w:w="1276" w:type="dxa"/>
            <w:vAlign w:val="center"/>
          </w:tcPr>
          <w:p w14:paraId="7475787E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</w:rPr>
              <w:t>秋季</w:t>
            </w:r>
          </w:p>
        </w:tc>
        <w:tc>
          <w:tcPr>
            <w:tcW w:w="1985" w:type="dxa"/>
            <w:vAlign w:val="center"/>
          </w:tcPr>
          <w:p w14:paraId="599C7A20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</w:rPr>
              <w:t>9月20日</w:t>
            </w:r>
          </w:p>
        </w:tc>
        <w:tc>
          <w:tcPr>
            <w:tcW w:w="2710" w:type="dxa"/>
            <w:vAlign w:val="center"/>
          </w:tcPr>
          <w:p w14:paraId="6305FD4E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Segoe UI Emoji" w:hAnsi="Segoe UI Emoji" w:eastAsia="仿宋" w:cs="Segoe UI Emoji"/>
              </w:rPr>
              <w:t>⚠️</w:t>
            </w:r>
            <w:r>
              <w:rPr>
                <w:rFonts w:ascii="仿宋" w:hAnsi="仿宋" w:eastAsia="仿宋" w:cstheme="minorEastAsia"/>
              </w:rPr>
              <w:t xml:space="preserve"> 3</w:t>
            </w:r>
            <w:r>
              <w:rPr>
                <w:rFonts w:ascii="仿宋" w:hAnsi="仿宋" w:eastAsia="仿宋" w:cstheme="minorEastAsia"/>
                <w:b/>
                <w:bCs/>
              </w:rPr>
              <w:t>月</w:t>
            </w:r>
            <w:r>
              <w:rPr>
                <w:rFonts w:ascii="仿宋" w:hAnsi="仿宋" w:eastAsia="仿宋" w:cstheme="minorEastAsia"/>
                <w:b/>
                <w:bCs/>
                <w:lang w:val="en-CA"/>
              </w:rPr>
              <w:t>30</w:t>
            </w:r>
            <w:r>
              <w:rPr>
                <w:rFonts w:ascii="仿宋" w:hAnsi="仿宋" w:eastAsia="仿宋" w:cstheme="minorEastAsia"/>
                <w:b/>
                <w:bCs/>
              </w:rPr>
              <w:t>日</w:t>
            </w:r>
          </w:p>
        </w:tc>
        <w:tc>
          <w:tcPr>
            <w:tcW w:w="1259" w:type="dxa"/>
            <w:vAlign w:val="center"/>
          </w:tcPr>
          <w:p w14:paraId="77D397D0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  <w:lang w:val="en-CA"/>
              </w:rPr>
            </w:pPr>
            <w:r>
              <w:rPr>
                <w:rFonts w:ascii="仿宋" w:hAnsi="仿宋" w:eastAsia="仿宋" w:cstheme="minorEastAsia"/>
                <w:lang w:val="en-CA"/>
              </w:rPr>
              <w:t>工程学院邮件通知</w:t>
            </w:r>
          </w:p>
        </w:tc>
      </w:tr>
      <w:tr w14:paraId="6A43B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7AF578D0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  <w:b/>
                <w:bCs/>
                <w:highlight w:val="yellow"/>
              </w:rPr>
              <w:t>数据科学</w:t>
            </w:r>
            <w:r>
              <w:rPr>
                <w:rFonts w:hint="eastAsia" w:ascii="仿宋" w:hAnsi="仿宋" w:eastAsia="仿宋" w:cstheme="minorEastAsia"/>
              </w:rPr>
              <w:t>/人文</w:t>
            </w:r>
          </w:p>
        </w:tc>
        <w:tc>
          <w:tcPr>
            <w:tcW w:w="1276" w:type="dxa"/>
            <w:vAlign w:val="center"/>
          </w:tcPr>
          <w:p w14:paraId="3628B681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hint="eastAsia" w:ascii="仿宋" w:hAnsi="仿宋" w:eastAsia="仿宋" w:cstheme="minorEastAsia"/>
              </w:rPr>
              <w:t>冬季/</w:t>
            </w:r>
            <w:r>
              <w:rPr>
                <w:rFonts w:ascii="仿宋" w:hAnsi="仿宋" w:eastAsia="仿宋" w:cstheme="minorEastAsia"/>
              </w:rPr>
              <w:t>夏季/秋季</w:t>
            </w:r>
          </w:p>
        </w:tc>
        <w:tc>
          <w:tcPr>
            <w:tcW w:w="1985" w:type="dxa"/>
            <w:vAlign w:val="center"/>
          </w:tcPr>
          <w:p w14:paraId="52EE3EEA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hint="eastAsia" w:ascii="仿宋" w:hAnsi="仿宋" w:eastAsia="仿宋" w:cstheme="minorEastAsia"/>
              </w:rPr>
              <w:t>1月4日/</w:t>
            </w:r>
            <w:r>
              <w:rPr>
                <w:rFonts w:ascii="仿宋" w:hAnsi="仿宋" w:eastAsia="仿宋" w:cstheme="minorEastAsia"/>
              </w:rPr>
              <w:t>6月21日/9月20日</w:t>
            </w:r>
          </w:p>
        </w:tc>
        <w:tc>
          <w:tcPr>
            <w:tcW w:w="2710" w:type="dxa"/>
            <w:vAlign w:val="center"/>
          </w:tcPr>
          <w:p w14:paraId="3FDE5A3E">
            <w:pPr>
              <w:widowControl/>
              <w:spacing w:line="240" w:lineRule="auto"/>
              <w:ind w:firstLine="0"/>
              <w:jc w:val="left"/>
              <w:rPr>
                <w:rFonts w:hint="eastAsia" w:ascii="仿宋" w:hAnsi="仿宋" w:eastAsia="仿宋" w:cstheme="minorEastAsia"/>
              </w:rPr>
            </w:pPr>
            <w:r>
              <w:rPr>
                <w:rFonts w:ascii="Segoe UI Emoji" w:hAnsi="Segoe UI Emoji" w:eastAsia="仿宋" w:cs="Segoe UI Emoji"/>
              </w:rPr>
              <w:t>⚠️</w:t>
            </w:r>
            <w:r>
              <w:rPr>
                <w:rFonts w:ascii="仿宋" w:hAnsi="仿宋" w:eastAsia="仿宋" w:cstheme="minorEastAsia"/>
              </w:rPr>
              <w:t xml:space="preserve"> </w:t>
            </w:r>
            <w:r>
              <w:rPr>
                <w:rFonts w:hint="eastAsia" w:ascii="仿宋" w:hAnsi="仿宋" w:eastAsia="仿宋" w:cstheme="minorEastAsia"/>
              </w:rPr>
              <w:t>1月4日-3月19日：</w:t>
            </w:r>
            <w:r>
              <w:rPr>
                <w:rFonts w:hint="eastAsia" w:ascii="仿宋" w:hAnsi="仿宋" w:eastAsia="仿宋" w:cstheme="minorEastAsia"/>
                <w:color w:val="EE0000"/>
              </w:rPr>
              <w:t>申请截止时间：2026年10月30日</w:t>
            </w:r>
          </w:p>
          <w:p w14:paraId="5038C0EF">
            <w:pPr>
              <w:widowControl/>
              <w:spacing w:line="240" w:lineRule="auto"/>
              <w:ind w:firstLine="0"/>
              <w:jc w:val="left"/>
              <w:rPr>
                <w:rFonts w:hint="eastAsia" w:ascii="仿宋" w:hAnsi="仿宋" w:eastAsia="仿宋" w:cstheme="minorEastAsia"/>
                <w:b/>
                <w:bCs/>
                <w:color w:val="EE0000"/>
                <w:highlight w:val="yellow"/>
              </w:rPr>
            </w:pPr>
            <w:r>
              <w:rPr>
                <w:rFonts w:hint="eastAsia" w:ascii="仿宋" w:hAnsi="仿宋" w:eastAsia="仿宋" w:cstheme="minorEastAsia"/>
                <w:b/>
                <w:bCs/>
                <w:highlight w:val="yellow"/>
              </w:rPr>
              <w:t>3月24日-6月11日：</w:t>
            </w:r>
            <w:r>
              <w:rPr>
                <w:rFonts w:hint="eastAsia" w:ascii="仿宋" w:hAnsi="仿宋" w:eastAsia="仿宋" w:cstheme="minorEastAsia"/>
                <w:b/>
                <w:bCs/>
                <w:color w:val="EE0000"/>
                <w:highlight w:val="yellow"/>
              </w:rPr>
              <w:t>申请截止时间：2026年12月24日</w:t>
            </w:r>
          </w:p>
          <w:p w14:paraId="18F07EDC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hint="eastAsia" w:ascii="仿宋" w:hAnsi="仿宋" w:eastAsia="仿宋" w:cstheme="minorEastAsia"/>
              </w:rPr>
              <w:t>9月20日-12月10日：</w:t>
            </w:r>
            <w:r>
              <w:rPr>
                <w:rFonts w:hint="eastAsia" w:ascii="仿宋" w:hAnsi="仿宋" w:eastAsia="仿宋" w:cstheme="minorEastAsia"/>
                <w:color w:val="EE0000"/>
              </w:rPr>
              <w:t>申请截止时间：2027年6月20日</w:t>
            </w:r>
          </w:p>
        </w:tc>
        <w:tc>
          <w:tcPr>
            <w:tcW w:w="1259" w:type="dxa"/>
            <w:vAlign w:val="center"/>
          </w:tcPr>
          <w:p w14:paraId="5D3F8E52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</w:rPr>
              <w:t>—</w:t>
            </w:r>
          </w:p>
        </w:tc>
      </w:tr>
      <w:tr w14:paraId="390C1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39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42A28DC2">
            <w:pPr>
              <w:widowControl/>
              <w:spacing w:line="240" w:lineRule="auto"/>
              <w:ind w:firstLine="0"/>
              <w:jc w:val="left"/>
              <w:rPr>
                <w:rFonts w:hint="eastAsia" w:ascii="仿宋" w:hAnsi="仿宋" w:eastAsia="仿宋" w:cstheme="minorEastAsia"/>
              </w:rPr>
            </w:pPr>
            <w:r>
              <w:rPr>
                <w:rFonts w:hint="eastAsia" w:ascii="仿宋" w:hAnsi="仿宋" w:eastAsia="仿宋" w:cstheme="minorEastAsia"/>
              </w:rPr>
              <w:t>数据科学</w:t>
            </w:r>
          </w:p>
        </w:tc>
        <w:tc>
          <w:tcPr>
            <w:tcW w:w="1276" w:type="dxa"/>
            <w:vAlign w:val="center"/>
          </w:tcPr>
          <w:p w14:paraId="712510DC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</w:rPr>
              <w:t>夏季/秋季</w:t>
            </w:r>
          </w:p>
        </w:tc>
        <w:tc>
          <w:tcPr>
            <w:tcW w:w="1985" w:type="dxa"/>
            <w:vAlign w:val="center"/>
          </w:tcPr>
          <w:p w14:paraId="3604A968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</w:rPr>
              <w:t>6月21日/9月20日</w:t>
            </w:r>
          </w:p>
        </w:tc>
        <w:tc>
          <w:tcPr>
            <w:tcW w:w="2710" w:type="dxa"/>
            <w:vAlign w:val="center"/>
          </w:tcPr>
          <w:p w14:paraId="5BCA90E7">
            <w:pPr>
              <w:widowControl/>
              <w:spacing w:line="240" w:lineRule="auto"/>
              <w:ind w:firstLine="0"/>
              <w:jc w:val="left"/>
              <w:rPr>
                <w:rFonts w:hint="eastAsia" w:ascii="仿宋" w:hAnsi="仿宋" w:eastAsia="仿宋" w:cstheme="minorEastAsia"/>
              </w:rPr>
            </w:pPr>
            <w:r>
              <w:rPr>
                <w:rFonts w:ascii="Segoe UI Emoji" w:hAnsi="Segoe UI Emoji" w:eastAsia="仿宋" w:cs="Segoe UI Emoji"/>
              </w:rPr>
              <w:t>⚠️</w:t>
            </w:r>
            <w:r>
              <w:rPr>
                <w:rFonts w:ascii="仿宋" w:hAnsi="仿宋" w:eastAsia="仿宋" w:cstheme="minorEastAsia"/>
              </w:rPr>
              <w:t xml:space="preserve"> </w:t>
            </w:r>
            <w:r>
              <w:rPr>
                <w:rFonts w:hint="eastAsia" w:ascii="仿宋" w:hAnsi="仿宋" w:eastAsia="仿宋" w:cstheme="minorEastAsia"/>
              </w:rPr>
              <w:t>6月21日 - 9月10日：</w:t>
            </w:r>
            <w:r>
              <w:rPr>
                <w:rFonts w:hint="eastAsia" w:ascii="仿宋" w:hAnsi="仿宋" w:eastAsia="仿宋" w:cstheme="minorEastAsia"/>
                <w:color w:val="EE0000"/>
              </w:rPr>
              <w:t>申请截止时间：2027年5月30日</w:t>
            </w:r>
          </w:p>
          <w:p w14:paraId="6BE3BA65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hint="eastAsia" w:ascii="仿宋" w:hAnsi="仿宋" w:eastAsia="仿宋" w:cstheme="minorEastAsia"/>
              </w:rPr>
              <w:t>9月20日-12月10日：</w:t>
            </w:r>
            <w:r>
              <w:rPr>
                <w:rFonts w:hint="eastAsia" w:ascii="仿宋" w:hAnsi="仿宋" w:eastAsia="仿宋" w:cstheme="minorEastAsia"/>
                <w:color w:val="EE0000"/>
              </w:rPr>
              <w:t>申请截止时间：2027年6月20日</w:t>
            </w:r>
          </w:p>
        </w:tc>
        <w:tc>
          <w:tcPr>
            <w:tcW w:w="1259" w:type="dxa"/>
            <w:vAlign w:val="center"/>
          </w:tcPr>
          <w:p w14:paraId="1A7296B3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</w:rPr>
              <w:t>—</w:t>
            </w:r>
          </w:p>
        </w:tc>
      </w:tr>
    </w:tbl>
    <w:p w14:paraId="735C6D38">
      <w:pPr>
        <w:widowControl/>
        <w:spacing w:line="240" w:lineRule="auto"/>
        <w:ind w:firstLine="0"/>
        <w:rPr>
          <w:rFonts w:ascii="仿宋" w:hAnsi="仿宋" w:eastAsia="仿宋"/>
        </w:rPr>
      </w:pPr>
    </w:p>
    <w:p w14:paraId="32690D1B">
      <w:pPr>
        <w:widowControl/>
        <w:spacing w:before="100" w:beforeAutospacing="1" w:after="100" w:afterAutospacing="1" w:line="240" w:lineRule="auto"/>
        <w:ind w:firstLine="0"/>
        <w:jc w:val="left"/>
        <w:outlineLvl w:val="2"/>
        <w:rPr>
          <w:rFonts w:ascii="仿宋" w:hAnsi="仿宋" w:eastAsia="仿宋" w:cstheme="minorEastAsia"/>
          <w:b/>
          <w:bCs/>
        </w:rPr>
      </w:pPr>
      <w:r>
        <w:rPr>
          <w:rFonts w:ascii="仿宋" w:hAnsi="仿宋" w:eastAsia="仿宋" w:cstheme="minorEastAsia"/>
          <w:b/>
          <w:bCs/>
        </w:rPr>
        <w:t>七、申请流程</w:t>
      </w:r>
    </w:p>
    <w:p w14:paraId="032895A9">
      <w:pPr>
        <w:widowControl/>
        <w:numPr>
          <w:ilvl w:val="0"/>
          <w:numId w:val="11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提交材料</w:t>
      </w:r>
      <w:r>
        <w:rPr>
          <w:rFonts w:ascii="仿宋" w:hAnsi="仿宋" w:eastAsia="仿宋" w:cstheme="minorEastAsia"/>
        </w:rPr>
        <w:t>：成绩单、语言证明、推荐信（工程专业）、个人陈述。</w:t>
      </w:r>
    </w:p>
    <w:p w14:paraId="38B20855">
      <w:pPr>
        <w:widowControl/>
        <w:numPr>
          <w:ilvl w:val="0"/>
          <w:numId w:val="11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签证办理</w:t>
      </w:r>
      <w:r>
        <w:rPr>
          <w:rFonts w:ascii="仿宋" w:hAnsi="仿宋" w:eastAsia="仿宋" w:cstheme="minorEastAsia"/>
        </w:rPr>
        <w:t>：官方团队全程指导，材料透明化处理。</w:t>
      </w:r>
    </w:p>
    <w:p w14:paraId="20F68384">
      <w:pPr>
        <w:widowControl/>
        <w:spacing w:before="100" w:beforeAutospacing="1" w:after="100" w:afterAutospacing="1" w:line="240" w:lineRule="auto"/>
        <w:ind w:right="420" w:firstLine="0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立即行动</w:t>
      </w:r>
      <w:r>
        <w:rPr>
          <w:rFonts w:ascii="仿宋" w:hAnsi="仿宋" w:eastAsia="仿宋" w:cstheme="minorEastAsia"/>
        </w:rPr>
        <w:t>：</w:t>
      </w:r>
    </w:p>
    <w:p w14:paraId="2C20223E">
      <w:pPr>
        <w:widowControl/>
        <w:numPr>
          <w:ilvl w:val="0"/>
          <w:numId w:val="12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官网</w:t>
      </w:r>
      <w:r>
        <w:rPr>
          <w:rFonts w:ascii="仿宋" w:hAnsi="仿宋" w:eastAsia="仿宋" w:cstheme="minorEastAsia"/>
        </w:rPr>
        <w:t>：</w:t>
      </w:r>
      <w:r>
        <w:fldChar w:fldCharType="begin"/>
      </w:r>
      <w:r>
        <w:instrText xml:space="preserve"> HYPERLINK "https://ip.ce.uci.edu/star/graduate/star311/" \h </w:instrText>
      </w:r>
      <w:r>
        <w:fldChar w:fldCharType="separate"/>
      </w:r>
      <w:r>
        <w:rPr>
          <w:rFonts w:ascii="仿宋" w:hAnsi="仿宋" w:eastAsia="仿宋" w:cstheme="minorEastAsia"/>
          <w:u w:val="single"/>
        </w:rPr>
        <w:t>3+1+Access项目详情</w:t>
      </w:r>
      <w:r>
        <w:rPr>
          <w:rFonts w:ascii="仿宋" w:hAnsi="仿宋" w:eastAsia="仿宋" w:cstheme="minorEastAsia"/>
          <w:u w:val="single"/>
        </w:rPr>
        <w:fldChar w:fldCharType="end"/>
      </w:r>
    </w:p>
    <w:p w14:paraId="114A048B">
      <w:pPr>
        <w:widowControl/>
        <w:numPr>
          <w:ilvl w:val="0"/>
          <w:numId w:val="12"/>
        </w:numPr>
        <w:spacing w:line="240" w:lineRule="auto"/>
        <w:jc w:val="left"/>
        <w:rPr>
          <w:rFonts w:ascii="仿宋" w:hAnsi="仿宋" w:eastAsia="仿宋" w:cstheme="minorEastAsia"/>
          <w:b/>
          <w:bCs/>
          <w:sz w:val="28"/>
          <w:szCs w:val="28"/>
        </w:rPr>
      </w:pPr>
      <w:r>
        <w:rPr>
          <w:rFonts w:ascii="仿宋" w:hAnsi="仿宋" w:eastAsia="仿宋" w:cstheme="minorEastAsia"/>
          <w:b/>
          <w:bCs/>
          <w:sz w:val="28"/>
          <w:szCs w:val="28"/>
        </w:rPr>
        <w:t>联系人：Ming CAI；</w:t>
      </w:r>
      <w:r>
        <w:rPr>
          <w:rFonts w:ascii="Segoe UI Emoji" w:hAnsi="Segoe UI Emoji" w:eastAsia="仿宋" w:cs="Segoe UI Emoji"/>
          <w:b/>
          <w:bCs/>
          <w:sz w:val="28"/>
          <w:szCs w:val="28"/>
        </w:rPr>
        <w:t>📧</w:t>
      </w:r>
      <w:r>
        <w:rPr>
          <w:rFonts w:ascii="Calibri" w:hAnsi="Calibri" w:eastAsia="仿宋" w:cs="Calibri"/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HYPERLINK "mailto:mcai2@uci.edu" \h </w:instrText>
      </w:r>
      <w:r>
        <w:rPr>
          <w:b/>
          <w:bCs/>
          <w:sz w:val="28"/>
          <w:szCs w:val="28"/>
        </w:rPr>
        <w:fldChar w:fldCharType="separate"/>
      </w:r>
      <w:r>
        <w:rPr>
          <w:rFonts w:ascii="仿宋" w:hAnsi="仿宋" w:eastAsia="仿宋" w:cstheme="minorEastAsia"/>
          <w:b/>
          <w:bCs/>
          <w:sz w:val="28"/>
          <w:szCs w:val="28"/>
          <w:u w:val="single"/>
        </w:rPr>
        <w:t>mcai2@uci.edu</w:t>
      </w:r>
      <w:r>
        <w:rPr>
          <w:rFonts w:ascii="仿宋" w:hAnsi="仿宋" w:eastAsia="仿宋" w:cstheme="minorEastAsia"/>
          <w:b/>
          <w:bCs/>
          <w:sz w:val="28"/>
          <w:szCs w:val="28"/>
          <w:u w:val="single"/>
        </w:rPr>
        <w:fldChar w:fldCharType="end"/>
      </w:r>
      <w:r>
        <w:rPr>
          <w:rFonts w:ascii="Calibri" w:hAnsi="Calibri" w:eastAsia="仿宋" w:cs="Calibri"/>
          <w:b/>
          <w:bCs/>
          <w:sz w:val="28"/>
          <w:szCs w:val="28"/>
        </w:rPr>
        <w:t> </w:t>
      </w:r>
      <w:r>
        <w:rPr>
          <w:rFonts w:ascii="仿宋" w:hAnsi="仿宋" w:eastAsia="仿宋" w:cstheme="minorEastAsia"/>
          <w:b/>
          <w:bCs/>
          <w:sz w:val="28"/>
          <w:szCs w:val="28"/>
        </w:rPr>
        <w:t xml:space="preserve">| </w:t>
      </w:r>
      <w:r>
        <w:rPr>
          <w:rFonts w:ascii="Segoe UI Emoji" w:hAnsi="Segoe UI Emoji" w:eastAsia="仿宋" w:cs="Segoe UI Emoji"/>
          <w:b/>
          <w:bCs/>
          <w:sz w:val="28"/>
          <w:szCs w:val="28"/>
        </w:rPr>
        <w:t>💬</w:t>
      </w:r>
      <w:r>
        <w:rPr>
          <w:rFonts w:ascii="仿宋" w:hAnsi="仿宋" w:eastAsia="仿宋" w:cstheme="minorEastAsia"/>
          <w:b/>
          <w:bCs/>
          <w:sz w:val="28"/>
          <w:szCs w:val="28"/>
        </w:rPr>
        <w:t xml:space="preserve"> 微信 247895687</w:t>
      </w:r>
    </w:p>
    <w:p w14:paraId="232DE022">
      <w:pPr>
        <w:widowControl/>
        <w:spacing w:line="240" w:lineRule="auto"/>
        <w:jc w:val="left"/>
        <w:rPr>
          <w:rFonts w:ascii="仿宋" w:hAnsi="仿宋" w:eastAsia="仿宋" w:cstheme="minorEastAsia"/>
        </w:rPr>
      </w:pPr>
    </w:p>
    <w:p w14:paraId="13336A51">
      <w:pPr>
        <w:widowControl/>
        <w:spacing w:before="100" w:beforeAutospacing="1" w:after="100" w:afterAutospacing="1" w:line="240" w:lineRule="auto"/>
        <w:ind w:firstLine="0"/>
        <w:jc w:val="left"/>
        <w:outlineLvl w:val="2"/>
        <w:rPr>
          <w:rFonts w:ascii="仿宋" w:hAnsi="仿宋" w:eastAsia="仿宋" w:cstheme="minorEastAsia"/>
          <w:b/>
          <w:bCs/>
        </w:rPr>
      </w:pPr>
      <w:r>
        <w:rPr>
          <w:rFonts w:ascii="仿宋" w:hAnsi="仿宋" w:eastAsia="仿宋" w:cstheme="minorEastAsia"/>
          <w:b/>
          <w:bCs/>
        </w:rPr>
        <w:t>八、附录：学位课程（只供参考）</w:t>
      </w:r>
    </w:p>
    <w:tbl>
      <w:tblPr>
        <w:tblStyle w:val="17"/>
        <w:tblW w:w="8419" w:type="dxa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98"/>
        <w:gridCol w:w="4111"/>
        <w:gridCol w:w="2410"/>
      </w:tblGrid>
      <w:tr w14:paraId="79F1B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1853" w:type="dxa"/>
            <w:vAlign w:val="center"/>
          </w:tcPr>
          <w:p w14:paraId="2647B07E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  <w:b/>
                <w:bCs/>
              </w:rPr>
            </w:pPr>
            <w:r>
              <w:rPr>
                <w:rFonts w:ascii="仿宋" w:hAnsi="仿宋" w:eastAsia="仿宋" w:cstheme="minorEastAsia"/>
                <w:b/>
                <w:bCs/>
              </w:rPr>
              <w:t>学科方向</w:t>
            </w:r>
          </w:p>
        </w:tc>
        <w:tc>
          <w:tcPr>
            <w:tcW w:w="4081" w:type="dxa"/>
            <w:vAlign w:val="center"/>
          </w:tcPr>
          <w:p w14:paraId="274A88EC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  <w:b/>
                <w:bCs/>
              </w:rPr>
            </w:pPr>
            <w:r>
              <w:rPr>
                <w:rFonts w:ascii="仿宋" w:hAnsi="仿宋" w:eastAsia="仿宋" w:cstheme="minorEastAsia"/>
                <w:b/>
                <w:bCs/>
              </w:rPr>
              <w:t>研究生学位</w:t>
            </w:r>
          </w:p>
        </w:tc>
        <w:tc>
          <w:tcPr>
            <w:tcW w:w="2365" w:type="dxa"/>
            <w:vAlign w:val="center"/>
          </w:tcPr>
          <w:p w14:paraId="71739395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  <w:b/>
                <w:bCs/>
              </w:rPr>
            </w:pPr>
            <w:r>
              <w:rPr>
                <w:rFonts w:ascii="仿宋" w:hAnsi="仿宋" w:eastAsia="仿宋" w:cstheme="minorEastAsia"/>
                <w:b/>
                <w:bCs/>
              </w:rPr>
              <w:t>博士学位</w:t>
            </w:r>
          </w:p>
        </w:tc>
      </w:tr>
      <w:tr w14:paraId="4C75D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853" w:type="dxa"/>
            <w:vAlign w:val="center"/>
          </w:tcPr>
          <w:p w14:paraId="48172FEF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  <w:b/>
                <w:bCs/>
              </w:rPr>
              <w:t>工程</w:t>
            </w:r>
          </w:p>
        </w:tc>
        <w:tc>
          <w:tcPr>
            <w:tcW w:w="4081" w:type="dxa"/>
            <w:vAlign w:val="center"/>
          </w:tcPr>
          <w:p w14:paraId="3C96D0D8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</w:rPr>
              <w:t>生物医学工程、化学与生物分子工程、土木与环境工程、电气工程与计算机科学、材料科学与工程以及机械与航空航天工程</w:t>
            </w:r>
          </w:p>
        </w:tc>
        <w:tc>
          <w:tcPr>
            <w:tcW w:w="2365" w:type="dxa"/>
            <w:vAlign w:val="center"/>
          </w:tcPr>
          <w:p w14:paraId="00D6D354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</w:rPr>
              <w:t>生物医学工程、化学工程等</w:t>
            </w:r>
          </w:p>
        </w:tc>
      </w:tr>
      <w:tr w14:paraId="0ECD1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853" w:type="dxa"/>
            <w:vAlign w:val="center"/>
          </w:tcPr>
          <w:p w14:paraId="60B9F3D4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  <w:b/>
                <w:bCs/>
              </w:rPr>
              <w:t>计算机科学</w:t>
            </w:r>
          </w:p>
        </w:tc>
        <w:tc>
          <w:tcPr>
            <w:tcW w:w="4081" w:type="dxa"/>
            <w:vAlign w:val="center"/>
          </w:tcPr>
          <w:p w14:paraId="58CBF66A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</w:rPr>
              <w:t>数据科学硕士</w:t>
            </w:r>
            <w:r>
              <w:rPr>
                <w:rFonts w:hint="eastAsia" w:ascii="仿宋" w:hAnsi="仿宋" w:eastAsia="仿宋" w:cstheme="minorEastAsia"/>
              </w:rPr>
              <w:t>、商务数据分析</w:t>
            </w:r>
          </w:p>
        </w:tc>
        <w:tc>
          <w:tcPr>
            <w:tcW w:w="2365" w:type="dxa"/>
            <w:vAlign w:val="center"/>
          </w:tcPr>
          <w:p w14:paraId="23B917A7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</w:p>
        </w:tc>
      </w:tr>
      <w:tr w14:paraId="322F4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853" w:type="dxa"/>
            <w:vAlign w:val="center"/>
          </w:tcPr>
          <w:p w14:paraId="6E1E0DB0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  <w:b/>
                <w:bCs/>
              </w:rPr>
              <w:t>人文社科</w:t>
            </w:r>
          </w:p>
        </w:tc>
        <w:tc>
          <w:tcPr>
            <w:tcW w:w="4081" w:type="dxa"/>
            <w:vAlign w:val="center"/>
          </w:tcPr>
          <w:p w14:paraId="1200000B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</w:rPr>
              <w:t>英语文学、历史学、视觉研究等</w:t>
            </w:r>
          </w:p>
        </w:tc>
        <w:tc>
          <w:tcPr>
            <w:tcW w:w="2365" w:type="dxa"/>
            <w:vAlign w:val="center"/>
          </w:tcPr>
          <w:p w14:paraId="250E5713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</w:rPr>
              <w:t>英语文学博士、历史学博士等</w:t>
            </w:r>
          </w:p>
        </w:tc>
      </w:tr>
      <w:tr w14:paraId="31CF4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853" w:type="dxa"/>
            <w:vAlign w:val="center"/>
          </w:tcPr>
          <w:p w14:paraId="5BA0E560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  <w:b/>
                <w:bCs/>
              </w:rPr>
              <w:t>数学与物理科学</w:t>
            </w:r>
          </w:p>
        </w:tc>
        <w:tc>
          <w:tcPr>
            <w:tcW w:w="4081" w:type="dxa"/>
            <w:vAlign w:val="center"/>
          </w:tcPr>
          <w:p w14:paraId="468C7C7A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</w:rPr>
              <w:t>应用数学硕士</w:t>
            </w:r>
          </w:p>
        </w:tc>
        <w:tc>
          <w:tcPr>
            <w:tcW w:w="2365" w:type="dxa"/>
            <w:vAlign w:val="center"/>
          </w:tcPr>
          <w:p w14:paraId="16901DAE">
            <w:pPr>
              <w:widowControl/>
              <w:spacing w:line="240" w:lineRule="auto"/>
              <w:ind w:firstLine="0"/>
              <w:jc w:val="left"/>
              <w:rPr>
                <w:rFonts w:ascii="仿宋" w:hAnsi="仿宋" w:eastAsia="仿宋" w:cstheme="minorEastAsia"/>
              </w:rPr>
            </w:pPr>
            <w:r>
              <w:rPr>
                <w:rFonts w:ascii="仿宋" w:hAnsi="仿宋" w:eastAsia="仿宋" w:cstheme="minorEastAsia"/>
              </w:rPr>
              <w:t>数学博士</w:t>
            </w:r>
          </w:p>
        </w:tc>
      </w:tr>
    </w:tbl>
    <w:p w14:paraId="46DB89E7">
      <w:pPr>
        <w:ind w:firstLine="0"/>
        <w:rPr>
          <w:rFonts w:ascii="仿宋" w:hAnsi="仿宋" w:eastAsia="仿宋"/>
        </w:rPr>
      </w:pPr>
    </w:p>
    <w:p w14:paraId="3046174A">
      <w:pPr>
        <w:widowControl/>
        <w:spacing w:before="100" w:beforeAutospacing="1" w:after="100" w:afterAutospacing="1" w:line="240" w:lineRule="auto"/>
        <w:ind w:firstLine="0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特别提示</w:t>
      </w:r>
      <w:r>
        <w:rPr>
          <w:rFonts w:ascii="仿宋" w:hAnsi="仿宋" w:eastAsia="仿宋" w:cstheme="minorEastAsia"/>
        </w:rPr>
        <w:t>：</w:t>
      </w:r>
    </w:p>
    <w:p w14:paraId="0BF84847">
      <w:pPr>
        <w:widowControl/>
        <w:spacing w:line="240" w:lineRule="auto"/>
        <w:ind w:left="720"/>
        <w:jc w:val="left"/>
        <w:rPr>
          <w:rFonts w:ascii="仿宋" w:hAnsi="仿宋" w:eastAsia="仿宋" w:cstheme="minorEastAsia"/>
        </w:rPr>
      </w:pPr>
    </w:p>
    <w:p w14:paraId="4EF98FD4">
      <w:pPr>
        <w:widowControl/>
        <w:numPr>
          <w:ilvl w:val="0"/>
          <w:numId w:val="13"/>
        </w:numPr>
        <w:spacing w:line="240" w:lineRule="auto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theme="minorEastAsia"/>
          <w:b/>
          <w:bCs/>
        </w:rPr>
        <w:t>往届学生案例</w:t>
      </w:r>
      <w:r>
        <w:rPr>
          <w:rFonts w:ascii="仿宋" w:hAnsi="仿宋" w:eastAsia="仿宋" w:cstheme="minorEastAsia"/>
        </w:rPr>
        <w:t>：往届学生进入多所美国知名大学继续深造。</w:t>
      </w:r>
    </w:p>
    <w:p w14:paraId="570F8F28">
      <w:pPr>
        <w:widowControl/>
        <w:spacing w:line="240" w:lineRule="auto"/>
        <w:ind w:firstLine="0"/>
        <w:jc w:val="left"/>
        <w:rPr>
          <w:rFonts w:ascii="仿宋" w:hAnsi="仿宋" w:eastAsia="仿宋" w:cstheme="minorEastAsia"/>
        </w:rPr>
      </w:pPr>
      <w:r>
        <w:rPr>
          <w:rFonts w:ascii="仿宋" w:hAnsi="仿宋" w:eastAsia="仿宋" w:cs="Segoe UI"/>
          <w:sz w:val="21"/>
          <w:szCs w:val="21"/>
        </w:rPr>
        <w:pict>
          <v:rect id="_x0000_i1025" o:spt="1" style="height:0.05pt;width:415.3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bookmarkEnd w:id="0"/>
    </w:p>
    <w:p w14:paraId="5056A6EC">
      <w:pPr>
        <w:widowControl/>
        <w:spacing w:before="100" w:beforeAutospacing="1" w:line="240" w:lineRule="auto"/>
        <w:ind w:firstLine="0"/>
        <w:jc w:val="left"/>
        <w:rPr>
          <w:rFonts w:ascii="仿宋" w:hAnsi="仿宋" w:eastAsia="仿宋" w:cs="Segoe UI"/>
          <w:sz w:val="21"/>
          <w:szCs w:val="21"/>
        </w:rPr>
      </w:pPr>
    </w:p>
    <w:sectPr>
      <w:headerReference r:id="rId5" w:type="default"/>
      <w:footerReference r:id="rId6" w:type="default"/>
      <w:pgSz w:w="11906" w:h="16838"/>
      <w:pgMar w:top="1843" w:right="1800" w:bottom="1702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venir Next LT Pro">
    <w:altName w:val="FFont-Family"/>
    <w:panose1 w:val="00000000000000000000"/>
    <w:charset w:val="00"/>
    <w:family w:val="swiss"/>
    <w:pitch w:val="default"/>
    <w:sig w:usb0="00000000" w:usb1="00000000" w:usb2="00000000" w:usb3="00000000" w:csb0="00000093" w:csb1="00000000"/>
  </w:font>
  <w:font w:name="ksdb">
    <w:altName w:val="Sitka Text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Tisa Offc Serif Pro">
    <w:altName w:val="FFont-Family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Sitka Text">
    <w:panose1 w:val="02000505000000020004"/>
    <w:charset w:val="00"/>
    <w:family w:val="auto"/>
    <w:pitch w:val="default"/>
    <w:sig w:usb0="A00002EF" w:usb1="4000204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7"/>
      <w:tblW w:w="0" w:type="auto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2765"/>
      <w:gridCol w:w="2765"/>
      <w:gridCol w:w="2765"/>
    </w:tblGrid>
    <w:tr w14:paraId="70CFBBE5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00" w:hRule="atLeast"/>
      </w:trPr>
      <w:tc>
        <w:tcPr>
          <w:tcW w:w="2765" w:type="dxa"/>
        </w:tcPr>
        <w:p w14:paraId="7C1D23D1">
          <w:pPr>
            <w:pStyle w:val="12"/>
            <w:ind w:left="-115"/>
            <w:jc w:val="left"/>
          </w:pPr>
        </w:p>
      </w:tc>
      <w:tc>
        <w:tcPr>
          <w:tcW w:w="2765" w:type="dxa"/>
        </w:tcPr>
        <w:p w14:paraId="5059C965">
          <w:pPr>
            <w:pStyle w:val="12"/>
          </w:pPr>
        </w:p>
      </w:tc>
      <w:tc>
        <w:tcPr>
          <w:tcW w:w="2765" w:type="dxa"/>
        </w:tcPr>
        <w:p w14:paraId="58CB5DCD">
          <w:pPr>
            <w:pStyle w:val="12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14:paraId="236D0799"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36" w:lineRule="auto"/>
      </w:pPr>
      <w:r>
        <w:separator/>
      </w:r>
    </w:p>
  </w:footnote>
  <w:footnote w:type="continuationSeparator" w:id="1">
    <w:p>
      <w:pPr>
        <w:spacing w:line="33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F4EDE3">
    <w:pPr>
      <w:pStyle w:val="12"/>
      <w:jc w:val="left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-727710</wp:posOffset>
          </wp:positionH>
          <wp:positionV relativeFrom="paragraph">
            <wp:posOffset>-65405</wp:posOffset>
          </wp:positionV>
          <wp:extent cx="2383790" cy="433070"/>
          <wp:effectExtent l="0" t="0" r="0" b="5080"/>
          <wp:wrapSquare wrapText="bothSides"/>
          <wp:docPr id="203897810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978101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83790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2B4C05"/>
    <w:multiLevelType w:val="multilevel"/>
    <w:tmpl w:val="022B4C0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FE671C9"/>
    <w:multiLevelType w:val="multilevel"/>
    <w:tmpl w:val="1FE671C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2A0A0EB3"/>
    <w:multiLevelType w:val="multilevel"/>
    <w:tmpl w:val="2A0A0EB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2A0BD2CE"/>
    <w:multiLevelType w:val="singleLevel"/>
    <w:tmpl w:val="2A0BD2CE"/>
    <w:lvl w:ilvl="0" w:tentative="0">
      <w:start w:val="3"/>
      <w:numFmt w:val="decimal"/>
      <w:suff w:val="space"/>
      <w:lvlText w:val="%1."/>
      <w:lvlJc w:val="left"/>
    </w:lvl>
  </w:abstractNum>
  <w:abstractNum w:abstractNumId="4">
    <w:nsid w:val="389A2FEB"/>
    <w:multiLevelType w:val="multilevel"/>
    <w:tmpl w:val="389A2FE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3AB151BD"/>
    <w:multiLevelType w:val="multilevel"/>
    <w:tmpl w:val="3AB151B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3F51379C"/>
    <w:multiLevelType w:val="multilevel"/>
    <w:tmpl w:val="3F51379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52A30D2D"/>
    <w:multiLevelType w:val="multilevel"/>
    <w:tmpl w:val="52A30D2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547F6680"/>
    <w:multiLevelType w:val="multilevel"/>
    <w:tmpl w:val="547F668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5CFA3F01"/>
    <w:multiLevelType w:val="multilevel"/>
    <w:tmpl w:val="5CFA3F0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6A120CB0"/>
    <w:multiLevelType w:val="multilevel"/>
    <w:tmpl w:val="6A120CB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>
    <w:nsid w:val="6B4F7389"/>
    <w:multiLevelType w:val="multilevel"/>
    <w:tmpl w:val="6B4F738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>
    <w:nsid w:val="6FBD6AAB"/>
    <w:multiLevelType w:val="multilevel"/>
    <w:tmpl w:val="6FBD6AA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3"/>
  </w:num>
  <w:num w:numId="5">
    <w:abstractNumId w:val="12"/>
  </w:num>
  <w:num w:numId="6">
    <w:abstractNumId w:val="2"/>
  </w:num>
  <w:num w:numId="7">
    <w:abstractNumId w:val="5"/>
  </w:num>
  <w:num w:numId="8">
    <w:abstractNumId w:val="10"/>
  </w:num>
  <w:num w:numId="9">
    <w:abstractNumId w:val="4"/>
  </w:num>
  <w:num w:numId="10">
    <w:abstractNumId w:val="11"/>
  </w:num>
  <w:num w:numId="11">
    <w:abstractNumId w:val="9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9CE"/>
    <w:rsid w:val="00005394"/>
    <w:rsid w:val="00010157"/>
    <w:rsid w:val="0001693B"/>
    <w:rsid w:val="00022D9A"/>
    <w:rsid w:val="00032135"/>
    <w:rsid w:val="000527AC"/>
    <w:rsid w:val="00097AE8"/>
    <w:rsid w:val="000A267C"/>
    <w:rsid w:val="000A3C01"/>
    <w:rsid w:val="000C2EA8"/>
    <w:rsid w:val="000D0F1F"/>
    <w:rsid w:val="000D1DF6"/>
    <w:rsid w:val="000E33AB"/>
    <w:rsid w:val="000F57FB"/>
    <w:rsid w:val="00101565"/>
    <w:rsid w:val="00116BE6"/>
    <w:rsid w:val="00122283"/>
    <w:rsid w:val="00123610"/>
    <w:rsid w:val="00130F3A"/>
    <w:rsid w:val="001327D3"/>
    <w:rsid w:val="0013519C"/>
    <w:rsid w:val="00143279"/>
    <w:rsid w:val="0015326B"/>
    <w:rsid w:val="00167030"/>
    <w:rsid w:val="00172564"/>
    <w:rsid w:val="00185BCB"/>
    <w:rsid w:val="001A5EAD"/>
    <w:rsid w:val="001E37D9"/>
    <w:rsid w:val="0020060C"/>
    <w:rsid w:val="002047BC"/>
    <w:rsid w:val="00215041"/>
    <w:rsid w:val="002231FB"/>
    <w:rsid w:val="00225570"/>
    <w:rsid w:val="00234225"/>
    <w:rsid w:val="00243D3B"/>
    <w:rsid w:val="00247118"/>
    <w:rsid w:val="00256DBF"/>
    <w:rsid w:val="002765EE"/>
    <w:rsid w:val="0028406D"/>
    <w:rsid w:val="00295EA6"/>
    <w:rsid w:val="002B0618"/>
    <w:rsid w:val="002B20FD"/>
    <w:rsid w:val="002C5E5D"/>
    <w:rsid w:val="00314D4F"/>
    <w:rsid w:val="00316321"/>
    <w:rsid w:val="00344C94"/>
    <w:rsid w:val="003452BD"/>
    <w:rsid w:val="00346210"/>
    <w:rsid w:val="00350124"/>
    <w:rsid w:val="00374462"/>
    <w:rsid w:val="00375A9A"/>
    <w:rsid w:val="003C0B53"/>
    <w:rsid w:val="003E492F"/>
    <w:rsid w:val="003F0E00"/>
    <w:rsid w:val="0040267E"/>
    <w:rsid w:val="00405023"/>
    <w:rsid w:val="00426160"/>
    <w:rsid w:val="0044294A"/>
    <w:rsid w:val="00447DE9"/>
    <w:rsid w:val="004557C8"/>
    <w:rsid w:val="00467B83"/>
    <w:rsid w:val="00475375"/>
    <w:rsid w:val="00485D2D"/>
    <w:rsid w:val="0048682E"/>
    <w:rsid w:val="004924F0"/>
    <w:rsid w:val="0049659D"/>
    <w:rsid w:val="004B1D9F"/>
    <w:rsid w:val="004C4E85"/>
    <w:rsid w:val="004D575B"/>
    <w:rsid w:val="004E3BE0"/>
    <w:rsid w:val="00510123"/>
    <w:rsid w:val="00512370"/>
    <w:rsid w:val="0053166B"/>
    <w:rsid w:val="00535118"/>
    <w:rsid w:val="00555820"/>
    <w:rsid w:val="005665C2"/>
    <w:rsid w:val="005802C3"/>
    <w:rsid w:val="005918D2"/>
    <w:rsid w:val="005978DD"/>
    <w:rsid w:val="005A1DD4"/>
    <w:rsid w:val="005A770C"/>
    <w:rsid w:val="005B6F87"/>
    <w:rsid w:val="005C1D6C"/>
    <w:rsid w:val="005C4299"/>
    <w:rsid w:val="005D298B"/>
    <w:rsid w:val="005D30DC"/>
    <w:rsid w:val="0060109F"/>
    <w:rsid w:val="00615F99"/>
    <w:rsid w:val="00622A5C"/>
    <w:rsid w:val="006238F1"/>
    <w:rsid w:val="00651399"/>
    <w:rsid w:val="00662B3E"/>
    <w:rsid w:val="00682D4D"/>
    <w:rsid w:val="006875F1"/>
    <w:rsid w:val="006B1ADE"/>
    <w:rsid w:val="006F5B68"/>
    <w:rsid w:val="0071193B"/>
    <w:rsid w:val="007160D9"/>
    <w:rsid w:val="00722A06"/>
    <w:rsid w:val="00740400"/>
    <w:rsid w:val="00741812"/>
    <w:rsid w:val="00761435"/>
    <w:rsid w:val="00763C43"/>
    <w:rsid w:val="007720E9"/>
    <w:rsid w:val="0077347F"/>
    <w:rsid w:val="00782AE5"/>
    <w:rsid w:val="007B48D6"/>
    <w:rsid w:val="007B4B54"/>
    <w:rsid w:val="007B7472"/>
    <w:rsid w:val="007B788E"/>
    <w:rsid w:val="007C24E1"/>
    <w:rsid w:val="007C7A19"/>
    <w:rsid w:val="007C7DF7"/>
    <w:rsid w:val="007D50E4"/>
    <w:rsid w:val="007D7A6C"/>
    <w:rsid w:val="007E09A1"/>
    <w:rsid w:val="007E2A85"/>
    <w:rsid w:val="007F06CD"/>
    <w:rsid w:val="007F3F6D"/>
    <w:rsid w:val="007F7F5F"/>
    <w:rsid w:val="00803E3D"/>
    <w:rsid w:val="008263E8"/>
    <w:rsid w:val="0083009B"/>
    <w:rsid w:val="0083445B"/>
    <w:rsid w:val="0084640F"/>
    <w:rsid w:val="00850015"/>
    <w:rsid w:val="0085264E"/>
    <w:rsid w:val="00857709"/>
    <w:rsid w:val="0086607D"/>
    <w:rsid w:val="008714CE"/>
    <w:rsid w:val="008719EF"/>
    <w:rsid w:val="00891832"/>
    <w:rsid w:val="00894F06"/>
    <w:rsid w:val="008A6FED"/>
    <w:rsid w:val="008B2035"/>
    <w:rsid w:val="008B28B3"/>
    <w:rsid w:val="008B7933"/>
    <w:rsid w:val="008D53F4"/>
    <w:rsid w:val="008E55AF"/>
    <w:rsid w:val="008E5B77"/>
    <w:rsid w:val="008F2904"/>
    <w:rsid w:val="008F6517"/>
    <w:rsid w:val="008F79E6"/>
    <w:rsid w:val="0090569B"/>
    <w:rsid w:val="009206C3"/>
    <w:rsid w:val="00923002"/>
    <w:rsid w:val="00935A48"/>
    <w:rsid w:val="00940D3E"/>
    <w:rsid w:val="0094593B"/>
    <w:rsid w:val="00953F33"/>
    <w:rsid w:val="00974D13"/>
    <w:rsid w:val="009A2BB9"/>
    <w:rsid w:val="009A3954"/>
    <w:rsid w:val="009A3A00"/>
    <w:rsid w:val="009A474C"/>
    <w:rsid w:val="009A6514"/>
    <w:rsid w:val="009A68C7"/>
    <w:rsid w:val="009B29A3"/>
    <w:rsid w:val="009B395C"/>
    <w:rsid w:val="009C1612"/>
    <w:rsid w:val="009D3C90"/>
    <w:rsid w:val="009D516A"/>
    <w:rsid w:val="009D76E1"/>
    <w:rsid w:val="009D7E7E"/>
    <w:rsid w:val="009E2D53"/>
    <w:rsid w:val="00A002FE"/>
    <w:rsid w:val="00A0642E"/>
    <w:rsid w:val="00A256E2"/>
    <w:rsid w:val="00A31C44"/>
    <w:rsid w:val="00A37A9B"/>
    <w:rsid w:val="00A41C16"/>
    <w:rsid w:val="00A65FB5"/>
    <w:rsid w:val="00A71079"/>
    <w:rsid w:val="00A7665F"/>
    <w:rsid w:val="00A8026C"/>
    <w:rsid w:val="00A81623"/>
    <w:rsid w:val="00A91A5D"/>
    <w:rsid w:val="00A96499"/>
    <w:rsid w:val="00AA0C37"/>
    <w:rsid w:val="00AA1EA6"/>
    <w:rsid w:val="00AA33A3"/>
    <w:rsid w:val="00AA5BE7"/>
    <w:rsid w:val="00AD4A06"/>
    <w:rsid w:val="00AD6401"/>
    <w:rsid w:val="00AE2261"/>
    <w:rsid w:val="00AF519C"/>
    <w:rsid w:val="00B011D2"/>
    <w:rsid w:val="00B179C4"/>
    <w:rsid w:val="00B31122"/>
    <w:rsid w:val="00B31682"/>
    <w:rsid w:val="00B411FB"/>
    <w:rsid w:val="00B63049"/>
    <w:rsid w:val="00B7182A"/>
    <w:rsid w:val="00B76E70"/>
    <w:rsid w:val="00B82DB7"/>
    <w:rsid w:val="00B843DA"/>
    <w:rsid w:val="00BA2E92"/>
    <w:rsid w:val="00BC3C69"/>
    <w:rsid w:val="00BC6C29"/>
    <w:rsid w:val="00BD59E5"/>
    <w:rsid w:val="00BE265D"/>
    <w:rsid w:val="00BE341E"/>
    <w:rsid w:val="00BE7B19"/>
    <w:rsid w:val="00BF336C"/>
    <w:rsid w:val="00BF772C"/>
    <w:rsid w:val="00C040B0"/>
    <w:rsid w:val="00C07D2C"/>
    <w:rsid w:val="00C24F2B"/>
    <w:rsid w:val="00C24FC9"/>
    <w:rsid w:val="00C3146A"/>
    <w:rsid w:val="00C4339A"/>
    <w:rsid w:val="00C45363"/>
    <w:rsid w:val="00C57C87"/>
    <w:rsid w:val="00C61050"/>
    <w:rsid w:val="00C65F8D"/>
    <w:rsid w:val="00C662F3"/>
    <w:rsid w:val="00C70F3A"/>
    <w:rsid w:val="00C75B10"/>
    <w:rsid w:val="00C943F2"/>
    <w:rsid w:val="00CA1434"/>
    <w:rsid w:val="00CA5243"/>
    <w:rsid w:val="00CB47E8"/>
    <w:rsid w:val="00CC44B2"/>
    <w:rsid w:val="00CD7AE8"/>
    <w:rsid w:val="00CF0063"/>
    <w:rsid w:val="00D01131"/>
    <w:rsid w:val="00D154DE"/>
    <w:rsid w:val="00D22889"/>
    <w:rsid w:val="00D23C29"/>
    <w:rsid w:val="00D31DBA"/>
    <w:rsid w:val="00D614E5"/>
    <w:rsid w:val="00D63811"/>
    <w:rsid w:val="00D64663"/>
    <w:rsid w:val="00D839CE"/>
    <w:rsid w:val="00D8564A"/>
    <w:rsid w:val="00DA6FC9"/>
    <w:rsid w:val="00DB0E08"/>
    <w:rsid w:val="00DB121A"/>
    <w:rsid w:val="00DC0551"/>
    <w:rsid w:val="00DC44BD"/>
    <w:rsid w:val="00DE3061"/>
    <w:rsid w:val="00DE50C0"/>
    <w:rsid w:val="00DE6B51"/>
    <w:rsid w:val="00DF7112"/>
    <w:rsid w:val="00E06181"/>
    <w:rsid w:val="00E10714"/>
    <w:rsid w:val="00E1131F"/>
    <w:rsid w:val="00E11A4F"/>
    <w:rsid w:val="00E1204B"/>
    <w:rsid w:val="00E23746"/>
    <w:rsid w:val="00E2616C"/>
    <w:rsid w:val="00E27816"/>
    <w:rsid w:val="00E509FB"/>
    <w:rsid w:val="00E56901"/>
    <w:rsid w:val="00E62AF1"/>
    <w:rsid w:val="00E64AC1"/>
    <w:rsid w:val="00E811AC"/>
    <w:rsid w:val="00E8192C"/>
    <w:rsid w:val="00E8314F"/>
    <w:rsid w:val="00E865B4"/>
    <w:rsid w:val="00E87DC8"/>
    <w:rsid w:val="00EA53F3"/>
    <w:rsid w:val="00EB1C8D"/>
    <w:rsid w:val="00EB3123"/>
    <w:rsid w:val="00EC7AC9"/>
    <w:rsid w:val="00ED493B"/>
    <w:rsid w:val="00ED5459"/>
    <w:rsid w:val="00F039B1"/>
    <w:rsid w:val="00F077FD"/>
    <w:rsid w:val="00F47233"/>
    <w:rsid w:val="00F7754E"/>
    <w:rsid w:val="00F82FD7"/>
    <w:rsid w:val="00F929FF"/>
    <w:rsid w:val="00FA1E55"/>
    <w:rsid w:val="00FE276C"/>
    <w:rsid w:val="00FE4260"/>
    <w:rsid w:val="00FF0154"/>
    <w:rsid w:val="00FF11CE"/>
    <w:rsid w:val="00FF352A"/>
    <w:rsid w:val="00FF6EE6"/>
    <w:rsid w:val="01490B06"/>
    <w:rsid w:val="014E9B65"/>
    <w:rsid w:val="02D470AA"/>
    <w:rsid w:val="0333BBD0"/>
    <w:rsid w:val="04704BCF"/>
    <w:rsid w:val="05722CC9"/>
    <w:rsid w:val="06101416"/>
    <w:rsid w:val="085FAFCD"/>
    <w:rsid w:val="09018C9C"/>
    <w:rsid w:val="09EAA321"/>
    <w:rsid w:val="0AC04C9D"/>
    <w:rsid w:val="0D558C42"/>
    <w:rsid w:val="0DDB863F"/>
    <w:rsid w:val="0ECF0AD2"/>
    <w:rsid w:val="0FBB1009"/>
    <w:rsid w:val="10080E33"/>
    <w:rsid w:val="112F1609"/>
    <w:rsid w:val="114A145F"/>
    <w:rsid w:val="13240863"/>
    <w:rsid w:val="132F63E2"/>
    <w:rsid w:val="14395F6B"/>
    <w:rsid w:val="14FD2843"/>
    <w:rsid w:val="160502AB"/>
    <w:rsid w:val="161CBDB3"/>
    <w:rsid w:val="1646B697"/>
    <w:rsid w:val="16FBF6F5"/>
    <w:rsid w:val="17576209"/>
    <w:rsid w:val="18167F65"/>
    <w:rsid w:val="18A88A47"/>
    <w:rsid w:val="19A5B24F"/>
    <w:rsid w:val="1B867AE7"/>
    <w:rsid w:val="1C2D901B"/>
    <w:rsid w:val="1E621A0D"/>
    <w:rsid w:val="1FAFF260"/>
    <w:rsid w:val="22C62AF4"/>
    <w:rsid w:val="22CC210E"/>
    <w:rsid w:val="232F53B2"/>
    <w:rsid w:val="247A228E"/>
    <w:rsid w:val="25465A38"/>
    <w:rsid w:val="262AC051"/>
    <w:rsid w:val="28E95C64"/>
    <w:rsid w:val="296A9F26"/>
    <w:rsid w:val="2A6EF07E"/>
    <w:rsid w:val="2BBE5943"/>
    <w:rsid w:val="2C540197"/>
    <w:rsid w:val="2D2B053C"/>
    <w:rsid w:val="3089FD0C"/>
    <w:rsid w:val="30E24577"/>
    <w:rsid w:val="30E84267"/>
    <w:rsid w:val="31442B1C"/>
    <w:rsid w:val="31466A05"/>
    <w:rsid w:val="32E296E9"/>
    <w:rsid w:val="33C37D40"/>
    <w:rsid w:val="34A5B8DA"/>
    <w:rsid w:val="352BD4B8"/>
    <w:rsid w:val="359E6150"/>
    <w:rsid w:val="36A77DF9"/>
    <w:rsid w:val="382604A7"/>
    <w:rsid w:val="38E4BD41"/>
    <w:rsid w:val="3910F2C3"/>
    <w:rsid w:val="39C566B7"/>
    <w:rsid w:val="3A6A3B3F"/>
    <w:rsid w:val="3AFD2D61"/>
    <w:rsid w:val="3C4BA020"/>
    <w:rsid w:val="3C880DAF"/>
    <w:rsid w:val="3D1FFB5C"/>
    <w:rsid w:val="417D47FF"/>
    <w:rsid w:val="41CB9785"/>
    <w:rsid w:val="42907DEC"/>
    <w:rsid w:val="43AD9ACE"/>
    <w:rsid w:val="44D5E32C"/>
    <w:rsid w:val="457E6EB8"/>
    <w:rsid w:val="460FB895"/>
    <w:rsid w:val="47D6A29E"/>
    <w:rsid w:val="47DDB09A"/>
    <w:rsid w:val="49C21041"/>
    <w:rsid w:val="4BEE6DD7"/>
    <w:rsid w:val="4C779452"/>
    <w:rsid w:val="4E740B5E"/>
    <w:rsid w:val="4F4E1FB9"/>
    <w:rsid w:val="50167F22"/>
    <w:rsid w:val="523E3629"/>
    <w:rsid w:val="549276BE"/>
    <w:rsid w:val="564A221E"/>
    <w:rsid w:val="5886E5E3"/>
    <w:rsid w:val="58D82E95"/>
    <w:rsid w:val="5BD6A80F"/>
    <w:rsid w:val="5C348670"/>
    <w:rsid w:val="5C938618"/>
    <w:rsid w:val="5D25AC4C"/>
    <w:rsid w:val="5E71B549"/>
    <w:rsid w:val="5FE84C69"/>
    <w:rsid w:val="60B8597F"/>
    <w:rsid w:val="61BFFCC0"/>
    <w:rsid w:val="6212AFD1"/>
    <w:rsid w:val="62B1A9DA"/>
    <w:rsid w:val="62B4922A"/>
    <w:rsid w:val="63029749"/>
    <w:rsid w:val="6360A1C7"/>
    <w:rsid w:val="63716EC6"/>
    <w:rsid w:val="63868F13"/>
    <w:rsid w:val="63AAC4BB"/>
    <w:rsid w:val="64185F64"/>
    <w:rsid w:val="66197AC9"/>
    <w:rsid w:val="699F29D9"/>
    <w:rsid w:val="6A7B3258"/>
    <w:rsid w:val="6B34F915"/>
    <w:rsid w:val="6BED2FFA"/>
    <w:rsid w:val="6C057932"/>
    <w:rsid w:val="6C27DBCA"/>
    <w:rsid w:val="6C2A43F4"/>
    <w:rsid w:val="6DAF5215"/>
    <w:rsid w:val="6DD3FD1C"/>
    <w:rsid w:val="6EE0C539"/>
    <w:rsid w:val="6F5C4A66"/>
    <w:rsid w:val="708A3865"/>
    <w:rsid w:val="71198648"/>
    <w:rsid w:val="720C779C"/>
    <w:rsid w:val="73860C6E"/>
    <w:rsid w:val="760DEB39"/>
    <w:rsid w:val="763217E0"/>
    <w:rsid w:val="76731D83"/>
    <w:rsid w:val="76E9489B"/>
    <w:rsid w:val="776110FB"/>
    <w:rsid w:val="778EB79F"/>
    <w:rsid w:val="77C190BF"/>
    <w:rsid w:val="79688668"/>
    <w:rsid w:val="7A27F05C"/>
    <w:rsid w:val="7ABF3169"/>
    <w:rsid w:val="7B4ABA05"/>
    <w:rsid w:val="7B61F4B2"/>
    <w:rsid w:val="7C9ADD9D"/>
    <w:rsid w:val="7CC5F1C8"/>
    <w:rsid w:val="7D2CF684"/>
    <w:rsid w:val="7E4A4402"/>
    <w:rsid w:val="7E949A56"/>
    <w:rsid w:val="7EDEF2C3"/>
    <w:rsid w:val="7EFF7DE9"/>
    <w:rsid w:val="7F69A935"/>
    <w:rsid w:val="7F9DBA22"/>
    <w:rsid w:val="7FD5E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1" w:semiHidden="0" w:name="footnote text"/>
    <w:lsdException w:unhideWhenUsed="0" w:uiPriority="0" w:semiHidden="0" w:name="annotation text"/>
    <w:lsdException w:qFormat="1" w:unhideWhenUsed="0" w:uiPriority="1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36" w:lineRule="auto"/>
      <w:ind w:firstLine="360"/>
      <w:jc w:val="both"/>
    </w:pPr>
    <w:rPr>
      <w:rFonts w:ascii="Avenir Next LT Pro" w:hAnsi="Times New Roman" w:eastAsia="宋体" w:cs="Times New Roma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80"/>
      <w:ind w:firstLine="0"/>
      <w:jc w:val="right"/>
      <w:outlineLvl w:val="0"/>
    </w:pPr>
    <w:rPr>
      <w:rFonts w:ascii="Tisa Offc Serif Pro"/>
      <w:color w:val="548235"/>
      <w:sz w:val="42"/>
      <w:szCs w:val="42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40" w:after="80"/>
      <w:ind w:firstLine="0"/>
      <w:jc w:val="right"/>
      <w:outlineLvl w:val="1"/>
    </w:pPr>
    <w:rPr>
      <w:rFonts w:ascii="Tisa Offc Serif Pro"/>
      <w:color w:val="548235"/>
      <w:sz w:val="32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40" w:after="80"/>
      <w:ind w:firstLine="0"/>
      <w:jc w:val="right"/>
      <w:outlineLvl w:val="2"/>
    </w:pPr>
    <w:rPr>
      <w:rFonts w:ascii="Tisa Offc Serif Pro"/>
      <w:color w:val="548235"/>
      <w:sz w:val="30"/>
      <w:szCs w:val="30"/>
    </w:rPr>
  </w:style>
  <w:style w:type="paragraph" w:styleId="5">
    <w:name w:val="heading 4"/>
    <w:basedOn w:val="1"/>
    <w:next w:val="1"/>
    <w:link w:val="29"/>
    <w:unhideWhenUsed/>
    <w:qFormat/>
    <w:uiPriority w:val="9"/>
    <w:pPr>
      <w:keepNext/>
      <w:keepLines/>
      <w:spacing w:before="240" w:after="80"/>
      <w:ind w:firstLine="0"/>
      <w:jc w:val="right"/>
      <w:outlineLvl w:val="3"/>
    </w:pPr>
    <w:rPr>
      <w:rFonts w:ascii="Tisa Offc Serif Pro"/>
      <w:color w:val="548235"/>
      <w:sz w:val="29"/>
      <w:szCs w:val="29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spacing w:before="240" w:after="80"/>
      <w:ind w:firstLine="0"/>
      <w:jc w:val="right"/>
      <w:outlineLvl w:val="4"/>
    </w:pPr>
    <w:rPr>
      <w:rFonts w:ascii="Tisa Offc Serif Pro"/>
      <w:color w:val="548235"/>
      <w:sz w:val="28"/>
      <w:szCs w:val="28"/>
    </w:rPr>
  </w:style>
  <w:style w:type="paragraph" w:styleId="7">
    <w:name w:val="heading 6"/>
    <w:basedOn w:val="1"/>
    <w:next w:val="1"/>
    <w:unhideWhenUsed/>
    <w:qFormat/>
    <w:uiPriority w:val="9"/>
    <w:pPr>
      <w:keepNext/>
      <w:keepLines/>
      <w:spacing w:before="240" w:after="80"/>
      <w:ind w:firstLine="0"/>
      <w:jc w:val="right"/>
      <w:outlineLvl w:val="5"/>
    </w:pPr>
    <w:rPr>
      <w:rFonts w:ascii="Tisa Offc Serif Pro"/>
      <w:color w:val="548235"/>
      <w:sz w:val="27"/>
      <w:szCs w:val="27"/>
    </w:rPr>
  </w:style>
  <w:style w:type="paragraph" w:styleId="8">
    <w:name w:val="heading 7"/>
    <w:basedOn w:val="1"/>
    <w:next w:val="1"/>
    <w:unhideWhenUsed/>
    <w:qFormat/>
    <w:uiPriority w:val="9"/>
    <w:pPr>
      <w:keepNext/>
      <w:keepLines/>
      <w:spacing w:before="240" w:after="80"/>
      <w:ind w:firstLine="0"/>
      <w:jc w:val="right"/>
      <w:outlineLvl w:val="6"/>
    </w:pPr>
    <w:rPr>
      <w:rFonts w:ascii="Tisa Offc Serif Pro"/>
      <w:color w:val="548235"/>
      <w:sz w:val="26"/>
      <w:szCs w:val="26"/>
    </w:rPr>
  </w:style>
  <w:style w:type="paragraph" w:styleId="9">
    <w:name w:val="heading 8"/>
    <w:basedOn w:val="1"/>
    <w:next w:val="1"/>
    <w:unhideWhenUsed/>
    <w:qFormat/>
    <w:uiPriority w:val="9"/>
    <w:pPr>
      <w:keepNext/>
      <w:keepLines/>
      <w:spacing w:before="240" w:after="80"/>
      <w:ind w:firstLine="0"/>
      <w:jc w:val="right"/>
      <w:outlineLvl w:val="7"/>
    </w:pPr>
    <w:rPr>
      <w:rFonts w:ascii="Tisa Offc Serif Pro"/>
      <w:color w:val="548235"/>
      <w:sz w:val="25"/>
      <w:szCs w:val="25"/>
    </w:rPr>
  </w:style>
  <w:style w:type="paragraph" w:styleId="10">
    <w:name w:val="heading 9"/>
    <w:basedOn w:val="1"/>
    <w:next w:val="1"/>
    <w:unhideWhenUsed/>
    <w:qFormat/>
    <w:uiPriority w:val="9"/>
    <w:pPr>
      <w:keepNext/>
      <w:keepLines/>
      <w:spacing w:before="240" w:after="80"/>
      <w:ind w:firstLine="0"/>
      <w:jc w:val="right"/>
      <w:outlineLvl w:val="8"/>
    </w:pPr>
    <w:rPr>
      <w:rFonts w:ascii="Tisa Offc Serif Pro"/>
      <w:color w:val="548235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26"/>
    <w:qFormat/>
    <w:uiPriority w:val="99"/>
    <w:pPr>
      <w:tabs>
        <w:tab w:val="center" w:pos="4513"/>
        <w:tab w:val="right" w:pos="9026"/>
      </w:tabs>
      <w:jc w:val="left"/>
    </w:pPr>
    <w:rPr>
      <w:sz w:val="18"/>
      <w:szCs w:val="18"/>
    </w:rPr>
  </w:style>
  <w:style w:type="paragraph" w:styleId="12">
    <w:name w:val="header"/>
    <w:basedOn w:val="1"/>
    <w:link w:val="25"/>
    <w:qFormat/>
    <w:uiPriority w:val="1"/>
    <w:pP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13">
    <w:name w:val="Subtitle"/>
    <w:basedOn w:val="1"/>
    <w:next w:val="1"/>
    <w:qFormat/>
    <w:uiPriority w:val="11"/>
    <w:pPr>
      <w:spacing w:after="480"/>
      <w:ind w:firstLine="0"/>
      <w:jc w:val="right"/>
    </w:pPr>
    <w:rPr>
      <w:rFonts w:ascii="Tisa Offc Serif Pro"/>
      <w:color w:val="548235"/>
      <w:sz w:val="48"/>
      <w:szCs w:val="48"/>
    </w:rPr>
  </w:style>
  <w:style w:type="paragraph" w:styleId="14">
    <w:name w:val="footnote text"/>
    <w:basedOn w:val="1"/>
    <w:link w:val="27"/>
    <w:qFormat/>
    <w:uiPriority w:val="1"/>
    <w:pPr>
      <w:jc w:val="left"/>
    </w:pPr>
    <w:rPr>
      <w:sz w:val="18"/>
      <w:szCs w:val="18"/>
    </w:rPr>
  </w:style>
  <w:style w:type="paragraph" w:styleId="15">
    <w:name w:val="Normal (Web)"/>
    <w:basedOn w:val="1"/>
    <w:qFormat/>
    <w:uiPriority w:val="99"/>
    <w:pPr>
      <w:spacing w:beforeAutospacing="1" w:afterAutospacing="1"/>
      <w:jc w:val="left"/>
    </w:pPr>
  </w:style>
  <w:style w:type="paragraph" w:styleId="16">
    <w:name w:val="Title"/>
    <w:basedOn w:val="1"/>
    <w:next w:val="1"/>
    <w:qFormat/>
    <w:uiPriority w:val="10"/>
    <w:pPr>
      <w:spacing w:after="160"/>
      <w:ind w:firstLine="0"/>
      <w:jc w:val="right"/>
    </w:pPr>
    <w:rPr>
      <w:rFonts w:ascii="Tisa Offc Serif Pro"/>
      <w:color w:val="262626" w:themeColor="text1" w:themeTint="D9"/>
      <w:sz w:val="76"/>
      <w:szCs w:val="7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18">
    <w:name w:val="Table Grid"/>
    <w:basedOn w:val="1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Hyperlink"/>
    <w:basedOn w:val="19"/>
    <w:qFormat/>
    <w:uiPriority w:val="99"/>
    <w:rPr>
      <w:color w:val="0000FF"/>
      <w:u w:val="single"/>
    </w:rPr>
  </w:style>
  <w:style w:type="character" w:styleId="22">
    <w:name w:val="footnote reference"/>
    <w:basedOn w:val="19"/>
    <w:qFormat/>
    <w:uiPriority w:val="0"/>
    <w:rPr>
      <w:vertAlign w:val="superscript"/>
    </w:rPr>
  </w:style>
  <w:style w:type="character" w:customStyle="1" w:styleId="23">
    <w:name w:val="未处理的提及1"/>
    <w:basedOn w:val="19"/>
    <w:semiHidden/>
    <w:unhideWhenUsed/>
    <w:qFormat/>
    <w:uiPriority w:val="99"/>
    <w:rPr>
      <w:color w:val="605E5C"/>
      <w:shd w:val="clear" w:color="auto" w:fill="E1DFDD"/>
    </w:rPr>
  </w:style>
  <w:style w:type="paragraph" w:styleId="24">
    <w:name w:val="List Paragraph"/>
    <w:basedOn w:val="1"/>
    <w:unhideWhenUsed/>
    <w:qFormat/>
    <w:uiPriority w:val="99"/>
    <w:pPr>
      <w:ind w:hanging="360"/>
      <w:contextualSpacing/>
    </w:pPr>
  </w:style>
  <w:style w:type="character" w:customStyle="1" w:styleId="25">
    <w:name w:val="页眉 字符"/>
    <w:basedOn w:val="19"/>
    <w:link w:val="1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6">
    <w:name w:val="页脚 字符"/>
    <w:basedOn w:val="19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7">
    <w:name w:val="脚注文本 字符"/>
    <w:basedOn w:val="19"/>
    <w:link w:val="1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28">
    <w:name w:val="No Spacing"/>
    <w:qFormat/>
    <w:uiPriority w:val="1"/>
    <w:rPr>
      <w:rFonts w:asciiTheme="minorHAnsi" w:hAnsiTheme="minorHAnsi" w:eastAsiaTheme="minorEastAsia" w:cstheme="minorBidi"/>
      <w:sz w:val="21"/>
      <w:szCs w:val="21"/>
      <w:lang w:val="en-US" w:eastAsia="zh-CN" w:bidi="ar-SA"/>
    </w:rPr>
  </w:style>
  <w:style w:type="character" w:customStyle="1" w:styleId="29">
    <w:name w:val="标题 4 字符"/>
    <w:basedOn w:val="19"/>
    <w:link w:val="5"/>
    <w:qFormat/>
    <w:uiPriority w:val="9"/>
    <w:rPr>
      <w:rFonts w:ascii="Tisa Offc Serif Pro"/>
      <w:color w:val="548235"/>
      <w:sz w:val="29"/>
      <w:szCs w:val="29"/>
      <w:u w:val="none"/>
    </w:rPr>
  </w:style>
  <w:style w:type="character" w:customStyle="1" w:styleId="30">
    <w:name w:val="Unresolved Mention"/>
    <w:basedOn w:val="19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61E8F-1362-4E2B-8BB9-BDFCE27AE2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1502</Words>
  <Characters>1770</Characters>
  <Lines>14</Lines>
  <Paragraphs>4</Paragraphs>
  <TotalTime>95</TotalTime>
  <ScaleCrop>false</ScaleCrop>
  <LinksUpToDate>false</LinksUpToDate>
  <CharactersWithSpaces>1815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2025-02-08T18:58:00Z</dcterms:created>
  <dc:creator>앙효헝</dc:creator>
  <cp:lastModifiedBy>于华</cp:lastModifiedBy>
  <cp:lastPrinted>2025-02-10T00:11:00Z</cp:lastPrinted>
  <dcterms:modified xsi:type="dcterms:W3CDTF">2026-09-10T03:03:50Z</dcterms:modified>
  <cp:revision>136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BAAF05C9057843FA8B2DED9DBE3B8199_13</vt:lpwstr>
  </property>
  <property fmtid="{D5CDD505-2E9C-101B-9397-08002B2CF9AE}" pid="4" name="GrammarlyDocumentId">
    <vt:lpwstr>c3cdc1ecac4ccee80f9cff3fa1a20537c0e0dd5aa596bda67960d5729fd566a0</vt:lpwstr>
  </property>
  <property fmtid="{D5CDD505-2E9C-101B-9397-08002B2CF9AE}" pid="5" name="KSOTemplateDocerSaveRecord">
    <vt:lpwstr>eyJoZGlkIjoiNzdjYzk2NWQ5Yjk3N2M3NmUwNTFlY2MxMTEwODE4M2UiLCJ1c2VySWQiOiIxNDc5NTE5NDcxIn0=</vt:lpwstr>
  </property>
</Properties>
</file>