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522"/>
      </w:tblGrid>
      <w:tr w:rsidR="00897D11">
        <w:trPr>
          <w:trHeight w:hRule="exact" w:val="3742"/>
        </w:trPr>
        <w:tc>
          <w:tcPr>
            <w:tcW w:w="9060" w:type="dxa"/>
            <w:vAlign w:val="center"/>
          </w:tcPr>
          <w:p w:rsidR="00897D11" w:rsidRDefault="00897D11">
            <w:pPr>
              <w:jc w:val="center"/>
              <w:rPr>
                <w:rFonts w:ascii="华文中宋" w:eastAsia="华文中宋" w:hAnsi="华文中宋"/>
                <w:color w:val="000000"/>
                <w:sz w:val="28"/>
                <w:szCs w:val="28"/>
              </w:rPr>
            </w:pPr>
          </w:p>
        </w:tc>
      </w:tr>
      <w:tr w:rsidR="00897D11">
        <w:trPr>
          <w:trHeight w:hRule="exact" w:val="794"/>
        </w:trPr>
        <w:tc>
          <w:tcPr>
            <w:tcW w:w="9060" w:type="dxa"/>
          </w:tcPr>
          <w:p w:rsidR="00897D11" w:rsidRDefault="008F0835">
            <w:pPr>
              <w:jc w:val="center"/>
              <w:rPr>
                <w:rFonts w:ascii="仿宋_GB2312" w:eastAsia="仿宋_GB2312" w:hAnsi="Times New Roman" w:cs="Times New Roman"/>
                <w:color w:val="000000"/>
                <w:sz w:val="32"/>
                <w:szCs w:val="24"/>
              </w:rPr>
            </w:pPr>
            <w:r>
              <w:rPr>
                <w:rFonts w:ascii="仿宋_GB2312" w:eastAsia="仿宋_GB2312" w:hAnsi="Times New Roman" w:cs="Times New Roman" w:hint="eastAsia"/>
                <w:color w:val="000000"/>
                <w:sz w:val="32"/>
                <w:szCs w:val="24"/>
              </w:rPr>
              <w:t>校教发〔</w:t>
            </w:r>
            <w:r>
              <w:rPr>
                <w:rFonts w:ascii="仿宋_GB2312" w:eastAsia="仿宋_GB2312" w:hAnsi="Times New Roman" w:cs="Times New Roman" w:hint="eastAsia"/>
                <w:color w:val="000000"/>
                <w:sz w:val="32"/>
                <w:szCs w:val="24"/>
              </w:rPr>
              <w:t>201</w:t>
            </w:r>
            <w:r>
              <w:rPr>
                <w:rFonts w:ascii="仿宋_GB2312" w:eastAsia="仿宋_GB2312" w:hAnsi="Times New Roman" w:cs="Times New Roman" w:hint="eastAsia"/>
                <w:color w:val="000000"/>
                <w:sz w:val="32"/>
                <w:szCs w:val="24"/>
              </w:rPr>
              <w:t>9</w:t>
            </w:r>
            <w:r>
              <w:rPr>
                <w:rFonts w:ascii="仿宋_GB2312" w:eastAsia="仿宋_GB2312" w:hAnsi="Times New Roman" w:cs="Times New Roman" w:hint="eastAsia"/>
                <w:color w:val="000000"/>
                <w:sz w:val="32"/>
                <w:szCs w:val="24"/>
              </w:rPr>
              <w:t>〕</w:t>
            </w:r>
            <w:r>
              <w:rPr>
                <w:rFonts w:ascii="仿宋_GB2312" w:eastAsia="仿宋_GB2312" w:hAnsi="Times New Roman" w:cs="Times New Roman"/>
                <w:color w:val="000000"/>
                <w:sz w:val="32"/>
                <w:szCs w:val="24"/>
              </w:rPr>
              <w:t>72</w:t>
            </w:r>
            <w:r>
              <w:rPr>
                <w:rFonts w:ascii="仿宋_GB2312" w:eastAsia="仿宋_GB2312" w:hAnsi="Times New Roman" w:cs="Times New Roman" w:hint="eastAsia"/>
                <w:color w:val="000000"/>
                <w:sz w:val="32"/>
                <w:szCs w:val="24"/>
              </w:rPr>
              <w:t>号</w:t>
            </w:r>
          </w:p>
        </w:tc>
      </w:tr>
    </w:tbl>
    <w:p w:rsidR="00897D11" w:rsidRDefault="008F0835">
      <w:pPr>
        <w:pStyle w:val="1"/>
        <w:spacing w:before="1080" w:after="760" w:line="240" w:lineRule="auto"/>
        <w:jc w:val="center"/>
        <w:rPr>
          <w:rFonts w:eastAsia="宋体"/>
        </w:rPr>
      </w:pPr>
      <w:r>
        <w:rPr>
          <w:rFonts w:eastAsia="宋体" w:hint="eastAsia"/>
        </w:rPr>
        <w:t>关于发布《南京邮电</w:t>
      </w:r>
      <w:r>
        <w:rPr>
          <w:rFonts w:eastAsia="宋体"/>
        </w:rPr>
        <w:t>大学</w:t>
      </w:r>
      <w:r>
        <w:rPr>
          <w:rFonts w:eastAsia="宋体" w:hint="eastAsia"/>
        </w:rPr>
        <w:t>“</w:t>
      </w:r>
      <w:r>
        <w:rPr>
          <w:rFonts w:eastAsia="宋体"/>
        </w:rPr>
        <w:t>教学</w:t>
      </w:r>
      <w:r>
        <w:rPr>
          <w:rFonts w:eastAsia="宋体" w:hint="eastAsia"/>
        </w:rPr>
        <w:t>卓越奖”</w:t>
      </w:r>
      <w:r>
        <w:rPr>
          <w:rFonts w:eastAsia="宋体" w:hint="eastAsia"/>
        </w:rPr>
        <w:t xml:space="preserve"> </w:t>
      </w:r>
      <w:r>
        <w:rPr>
          <w:rFonts w:eastAsia="宋体"/>
        </w:rPr>
        <w:t xml:space="preserve">  </w:t>
      </w:r>
      <w:r>
        <w:rPr>
          <w:rFonts w:eastAsia="宋体" w:hint="eastAsia"/>
        </w:rPr>
        <w:t>评审</w:t>
      </w:r>
      <w:r>
        <w:rPr>
          <w:rFonts w:eastAsia="宋体"/>
        </w:rPr>
        <w:t>办法</w:t>
      </w:r>
      <w:r>
        <w:rPr>
          <w:rFonts w:eastAsia="宋体" w:hint="eastAsia"/>
        </w:rPr>
        <w:t>（试行）》的通知</w:t>
      </w:r>
    </w:p>
    <w:p w:rsidR="00897D11" w:rsidRDefault="008F0835">
      <w:pPr>
        <w:adjustRightInd w:val="0"/>
        <w:snapToGrid w:val="0"/>
        <w:spacing w:line="360" w:lineRule="auto"/>
        <w:rPr>
          <w:rFonts w:ascii="Times New Roman" w:eastAsia="仿宋_GB2312" w:hAnsi="Times New Roman" w:cs="Times New Roman"/>
          <w:color w:val="000000"/>
          <w:sz w:val="32"/>
          <w:szCs w:val="24"/>
        </w:rPr>
      </w:pPr>
      <w:r>
        <w:rPr>
          <w:rFonts w:ascii="Times New Roman" w:eastAsia="仿宋_GB2312" w:hAnsi="Times New Roman" w:cs="Times New Roman" w:hint="eastAsia"/>
          <w:color w:val="000000"/>
          <w:sz w:val="32"/>
          <w:szCs w:val="24"/>
        </w:rPr>
        <w:t>各学院（部）：</w:t>
      </w:r>
    </w:p>
    <w:p w:rsidR="00897D11" w:rsidRDefault="008F0835">
      <w:pPr>
        <w:adjustRightInd w:val="0"/>
        <w:snapToGrid w:val="0"/>
        <w:spacing w:line="360" w:lineRule="auto"/>
        <w:ind w:firstLineChars="150" w:firstLine="480"/>
        <w:rPr>
          <w:rFonts w:ascii="Times New Roman" w:eastAsia="仿宋_GB2312" w:hAnsi="Times New Roman" w:cs="Times New Roman"/>
          <w:color w:val="000000"/>
          <w:sz w:val="32"/>
          <w:szCs w:val="24"/>
        </w:rPr>
      </w:pPr>
      <w:r>
        <w:rPr>
          <w:rFonts w:ascii="Times New Roman" w:eastAsia="仿宋_GB2312" w:hAnsi="Times New Roman" w:cs="Times New Roman" w:hint="eastAsia"/>
          <w:color w:val="000000"/>
          <w:sz w:val="32"/>
          <w:szCs w:val="24"/>
        </w:rPr>
        <w:t>《南京邮电大学“教学卓越奖”评审办法（试行）》已由校长办公会议审议通过，现予发布，请遵照执行。</w:t>
      </w:r>
    </w:p>
    <w:p w:rsidR="00897D11" w:rsidRDefault="00897D11">
      <w:pPr>
        <w:adjustRightInd w:val="0"/>
        <w:snapToGrid w:val="0"/>
        <w:ind w:firstLineChars="150" w:firstLine="315"/>
        <w:rPr>
          <w:color w:val="000000"/>
        </w:rPr>
      </w:pPr>
    </w:p>
    <w:p w:rsidR="00897D11" w:rsidRDefault="00897D11">
      <w:pPr>
        <w:adjustRightInd w:val="0"/>
        <w:snapToGrid w:val="0"/>
        <w:ind w:firstLineChars="150" w:firstLine="315"/>
        <w:rPr>
          <w:color w:val="000000"/>
        </w:rPr>
      </w:pPr>
    </w:p>
    <w:p w:rsidR="00897D11" w:rsidRDefault="00897D11">
      <w:pPr>
        <w:adjustRightInd w:val="0"/>
        <w:snapToGrid w:val="0"/>
        <w:ind w:firstLineChars="150" w:firstLine="315"/>
        <w:rPr>
          <w:color w:val="000000"/>
        </w:rPr>
      </w:pPr>
    </w:p>
    <w:p w:rsidR="00897D11" w:rsidRDefault="00897D11">
      <w:pPr>
        <w:adjustRightInd w:val="0"/>
        <w:snapToGrid w:val="0"/>
        <w:ind w:firstLineChars="150" w:firstLine="315"/>
        <w:rPr>
          <w:color w:val="000000"/>
        </w:rPr>
      </w:pPr>
    </w:p>
    <w:p w:rsidR="00897D11" w:rsidRDefault="00897D11">
      <w:pPr>
        <w:adjustRightInd w:val="0"/>
        <w:snapToGrid w:val="0"/>
        <w:ind w:firstLineChars="150" w:firstLine="315"/>
        <w:rPr>
          <w:color w:val="000000"/>
        </w:rPr>
      </w:pPr>
    </w:p>
    <w:tbl>
      <w:tblPr>
        <w:tblW w:w="0" w:type="auto"/>
        <w:tblLook w:val="04A0" w:firstRow="1" w:lastRow="0" w:firstColumn="1" w:lastColumn="0" w:noHBand="0" w:noVBand="1"/>
      </w:tblPr>
      <w:tblGrid>
        <w:gridCol w:w="7243"/>
        <w:gridCol w:w="1279"/>
      </w:tblGrid>
      <w:tr w:rsidR="00897D11">
        <w:tc>
          <w:tcPr>
            <w:tcW w:w="7705" w:type="dxa"/>
          </w:tcPr>
          <w:p w:rsidR="00897D11" w:rsidRDefault="008F0835">
            <w:pPr>
              <w:adjustRightInd w:val="0"/>
              <w:snapToGrid w:val="0"/>
              <w:spacing w:line="360" w:lineRule="auto"/>
              <w:jc w:val="right"/>
              <w:rPr>
                <w:rFonts w:ascii="Times New Roman" w:eastAsia="仿宋_GB2312" w:hAnsi="Times New Roman" w:cs="Times New Roman"/>
                <w:color w:val="000000"/>
                <w:sz w:val="32"/>
                <w:szCs w:val="24"/>
              </w:rPr>
            </w:pPr>
            <w:r>
              <w:rPr>
                <w:rFonts w:ascii="Times New Roman" w:eastAsia="仿宋_GB2312" w:hAnsi="Times New Roman" w:cs="Times New Roman" w:hint="eastAsia"/>
                <w:color w:val="000000"/>
                <w:sz w:val="32"/>
                <w:szCs w:val="24"/>
              </w:rPr>
              <w:t>201</w:t>
            </w:r>
            <w:r>
              <w:rPr>
                <w:rFonts w:ascii="Times New Roman" w:eastAsia="仿宋_GB2312" w:hAnsi="Times New Roman" w:cs="Times New Roman"/>
                <w:color w:val="000000"/>
                <w:sz w:val="32"/>
                <w:szCs w:val="24"/>
              </w:rPr>
              <w:t>9</w:t>
            </w:r>
            <w:r>
              <w:rPr>
                <w:rFonts w:ascii="Times New Roman" w:eastAsia="仿宋_GB2312" w:hAnsi="Times New Roman" w:cs="Times New Roman" w:hint="eastAsia"/>
                <w:color w:val="000000"/>
                <w:sz w:val="32"/>
                <w:szCs w:val="24"/>
              </w:rPr>
              <w:t>年</w:t>
            </w:r>
            <w:r>
              <w:rPr>
                <w:rFonts w:ascii="Times New Roman" w:eastAsia="仿宋_GB2312" w:hAnsi="Times New Roman" w:cs="Times New Roman"/>
                <w:color w:val="000000"/>
                <w:sz w:val="32"/>
                <w:szCs w:val="24"/>
              </w:rPr>
              <w:t>12</w:t>
            </w:r>
            <w:r>
              <w:rPr>
                <w:rFonts w:ascii="Times New Roman" w:eastAsia="仿宋_GB2312" w:hAnsi="Times New Roman" w:cs="Times New Roman" w:hint="eastAsia"/>
                <w:color w:val="000000"/>
                <w:sz w:val="32"/>
                <w:szCs w:val="24"/>
              </w:rPr>
              <w:t>月</w:t>
            </w:r>
            <w:r>
              <w:rPr>
                <w:rFonts w:ascii="Times New Roman" w:eastAsia="仿宋_GB2312" w:hAnsi="Times New Roman" w:cs="Times New Roman"/>
                <w:color w:val="000000"/>
                <w:sz w:val="32"/>
                <w:szCs w:val="24"/>
              </w:rPr>
              <w:t>11</w:t>
            </w:r>
            <w:r>
              <w:rPr>
                <w:rFonts w:ascii="Times New Roman" w:eastAsia="仿宋_GB2312" w:hAnsi="Times New Roman" w:cs="Times New Roman" w:hint="eastAsia"/>
                <w:color w:val="000000"/>
                <w:sz w:val="32"/>
                <w:szCs w:val="24"/>
              </w:rPr>
              <w:t>日</w:t>
            </w:r>
          </w:p>
        </w:tc>
        <w:tc>
          <w:tcPr>
            <w:tcW w:w="1355" w:type="dxa"/>
          </w:tcPr>
          <w:p w:rsidR="00897D11" w:rsidRDefault="00897D11">
            <w:pPr>
              <w:adjustRightInd w:val="0"/>
              <w:snapToGrid w:val="0"/>
              <w:spacing w:line="360" w:lineRule="auto"/>
              <w:rPr>
                <w:rFonts w:ascii="Times New Roman" w:eastAsia="仿宋_GB2312" w:hAnsi="Times New Roman" w:cs="Times New Roman"/>
                <w:color w:val="000000"/>
                <w:sz w:val="32"/>
                <w:szCs w:val="24"/>
              </w:rPr>
            </w:pPr>
          </w:p>
        </w:tc>
      </w:tr>
    </w:tbl>
    <w:p w:rsidR="00897D11" w:rsidRDefault="00897D11">
      <w:pPr>
        <w:spacing w:line="360" w:lineRule="auto"/>
        <w:ind w:firstLineChars="200" w:firstLine="560"/>
        <w:rPr>
          <w:rFonts w:ascii="仿宋_GB2312" w:eastAsia="仿宋_GB2312" w:hAnsi="宋体" w:cs="宋体"/>
          <w:kern w:val="0"/>
          <w:sz w:val="28"/>
          <w:szCs w:val="28"/>
        </w:rPr>
      </w:pPr>
    </w:p>
    <w:p w:rsidR="00897D11" w:rsidRDefault="00897D11">
      <w:pPr>
        <w:spacing w:line="360" w:lineRule="auto"/>
        <w:ind w:firstLineChars="200" w:firstLine="560"/>
        <w:rPr>
          <w:rFonts w:ascii="仿宋_GB2312" w:eastAsia="仿宋_GB2312" w:hAnsi="宋体" w:cs="宋体"/>
          <w:kern w:val="0"/>
          <w:sz w:val="28"/>
          <w:szCs w:val="28"/>
        </w:rPr>
      </w:pPr>
    </w:p>
    <w:p w:rsidR="00897D11" w:rsidRDefault="00897D11">
      <w:pPr>
        <w:spacing w:line="360" w:lineRule="auto"/>
        <w:ind w:firstLineChars="200" w:firstLine="560"/>
        <w:rPr>
          <w:rFonts w:ascii="仿宋_GB2312" w:eastAsia="仿宋_GB2312" w:hAnsi="宋体" w:cs="宋体"/>
          <w:kern w:val="0"/>
          <w:sz w:val="28"/>
          <w:szCs w:val="28"/>
        </w:rPr>
      </w:pPr>
    </w:p>
    <w:p w:rsidR="00897D11" w:rsidRDefault="00897D11">
      <w:pPr>
        <w:spacing w:line="360" w:lineRule="auto"/>
        <w:ind w:firstLineChars="200" w:firstLine="560"/>
        <w:rPr>
          <w:rFonts w:ascii="仿宋_GB2312" w:eastAsia="仿宋_GB2312" w:hAnsi="宋体" w:cs="宋体"/>
          <w:kern w:val="0"/>
          <w:sz w:val="28"/>
          <w:szCs w:val="28"/>
        </w:rPr>
      </w:pPr>
    </w:p>
    <w:p w:rsidR="00897D11" w:rsidRDefault="008F0835">
      <w:pPr>
        <w:pStyle w:val="1"/>
        <w:spacing w:before="0" w:after="0" w:line="240" w:lineRule="auto"/>
        <w:jc w:val="center"/>
        <w:rPr>
          <w:rFonts w:eastAsia="宋体"/>
        </w:rPr>
      </w:pPr>
      <w:r>
        <w:rPr>
          <w:rFonts w:eastAsia="宋体" w:hint="eastAsia"/>
        </w:rPr>
        <w:lastRenderedPageBreak/>
        <w:t>南京邮电大学“教学卓越奖”评审办法</w:t>
      </w:r>
    </w:p>
    <w:p w:rsidR="00897D11" w:rsidRDefault="008F0835">
      <w:pPr>
        <w:pStyle w:val="1"/>
        <w:spacing w:before="0" w:after="0" w:line="240" w:lineRule="auto"/>
        <w:jc w:val="center"/>
        <w:rPr>
          <w:rFonts w:eastAsia="宋体"/>
        </w:rPr>
      </w:pPr>
      <w:r>
        <w:rPr>
          <w:rFonts w:eastAsia="宋体" w:hint="eastAsia"/>
        </w:rPr>
        <w:t>（试行）</w:t>
      </w:r>
    </w:p>
    <w:p w:rsidR="00897D11" w:rsidRDefault="00897D11">
      <w:pPr>
        <w:pStyle w:val="a3"/>
        <w:spacing w:line="500" w:lineRule="exact"/>
        <w:ind w:leftChars="43" w:left="90" w:firstLineChars="200" w:firstLine="640"/>
        <w:rPr>
          <w:rFonts w:ascii="仿宋_GB2312" w:eastAsia="仿宋_GB2312" w:hAnsi="宋体" w:cs="Courier New"/>
          <w:sz w:val="32"/>
          <w:szCs w:val="32"/>
        </w:rPr>
      </w:pP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为全面贯彻落实全国教育大会、新时代全国高等学校本科教育工作会议精神，强化立德树人根本任务的落实，激励教师潜心从事本科教育教学工作，加强在本科人才培养事业中做出突出业绩教师的评价制度改革，全力推进“双一流”高校建设和江苏省高水平大学建设，结合我校实际，特制定本办法。</w:t>
      </w:r>
    </w:p>
    <w:p w:rsidR="00897D11" w:rsidRDefault="008F0835">
      <w:pPr>
        <w:pStyle w:val="a3"/>
        <w:spacing w:line="500" w:lineRule="exact"/>
        <w:ind w:leftChars="43" w:left="90"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一、评选范围和数量</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南京邮电大学在职在岗从事本科教育教学工作的教师。</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每年评选教学卓越奖</w:t>
      </w:r>
      <w:r>
        <w:rPr>
          <w:rFonts w:ascii="仿宋_GB2312" w:eastAsia="仿宋_GB2312" w:hAnsi="宋体" w:cs="Courier New" w:hint="eastAsia"/>
          <w:sz w:val="32"/>
          <w:szCs w:val="32"/>
        </w:rPr>
        <w:t>1</w:t>
      </w:r>
      <w:r>
        <w:rPr>
          <w:rFonts w:ascii="仿宋_GB2312" w:eastAsia="仿宋_GB2312" w:hAnsi="宋体" w:cs="Courier New" w:hint="eastAsia"/>
          <w:sz w:val="32"/>
          <w:szCs w:val="32"/>
        </w:rPr>
        <w:t>名（可空缺）。</w:t>
      </w:r>
    </w:p>
    <w:p w:rsidR="00897D11" w:rsidRDefault="008F0835">
      <w:pPr>
        <w:pStyle w:val="a3"/>
        <w:spacing w:line="500" w:lineRule="exact"/>
        <w:ind w:leftChars="43" w:left="90"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二、思想政治素质和职业道德要求</w:t>
      </w:r>
      <w:r>
        <w:rPr>
          <w:rFonts w:ascii="仿宋_GB2312" w:eastAsia="仿宋_GB2312" w:hAnsi="宋体" w:cs="Courier New" w:hint="eastAsia"/>
          <w:b/>
          <w:sz w:val="32"/>
          <w:szCs w:val="32"/>
        </w:rPr>
        <w:t xml:space="preserve"> </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（一）以习近平新时代中国特色社会主义思想为指导，坚定正确政治方向，拥护中国共产党的领导，贯彻落实党和国家教育方针，热爱教育事业，遵守法律法规和学校规章制度。</w:t>
      </w:r>
      <w:r>
        <w:rPr>
          <w:rFonts w:ascii="仿宋_GB2312" w:eastAsia="仿宋_GB2312" w:hAnsi="宋体" w:cs="Courier New" w:hint="eastAsia"/>
          <w:sz w:val="32"/>
          <w:szCs w:val="32"/>
        </w:rPr>
        <w:t xml:space="preserve"> </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（二）具有良好的职业道德和敬业精神，坚持立德树人，以教书育人为使命，真情关爱学生成长，在为人师表、爱岗敬业、无私奉献等方面具有先进典型的示范和引领作用。</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（三）在教育教学改革、实践创新、课程建设、教材建设等方面做出突出成绩，师德思想政治考核、年度考核结果均在合格及以上。教师教学质量综合评价为优良。</w:t>
      </w:r>
    </w:p>
    <w:p w:rsidR="00897D11" w:rsidRDefault="008F0835">
      <w:pPr>
        <w:pStyle w:val="a3"/>
        <w:spacing w:line="500" w:lineRule="exact"/>
        <w:ind w:leftChars="43" w:left="90"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三、评选申报条件</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任现职以来，工作业绩满足下列</w:t>
      </w:r>
      <w:r>
        <w:rPr>
          <w:rFonts w:ascii="仿宋_GB2312" w:eastAsia="仿宋_GB2312" w:hAnsi="宋体" w:cs="Courier New" w:hint="eastAsia"/>
          <w:sz w:val="32"/>
          <w:szCs w:val="32"/>
        </w:rPr>
        <w:t>3</w:t>
      </w:r>
      <w:r>
        <w:rPr>
          <w:rFonts w:ascii="仿宋_GB2312" w:eastAsia="仿宋_GB2312" w:hAnsi="宋体" w:cs="Courier New" w:hint="eastAsia"/>
          <w:sz w:val="32"/>
          <w:szCs w:val="32"/>
        </w:rPr>
        <w:t>项条</w:t>
      </w:r>
      <w:r>
        <w:rPr>
          <w:rFonts w:ascii="仿宋_GB2312" w:eastAsia="仿宋_GB2312" w:hAnsi="宋体" w:cs="Courier New" w:hint="eastAsia"/>
          <w:sz w:val="32"/>
          <w:szCs w:val="32"/>
        </w:rPr>
        <w:t>件中的任意一项：</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（一）获国家级教学成果奖一等奖</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项（排名前三）；或获得国家级教学成果奖二等奖</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项（排名前二）；或省部</w:t>
      </w:r>
      <w:r>
        <w:rPr>
          <w:rFonts w:ascii="仿宋_GB2312" w:eastAsia="仿宋_GB2312" w:hAnsi="宋体" w:cs="Courier New" w:hint="eastAsia"/>
          <w:sz w:val="32"/>
          <w:szCs w:val="32"/>
        </w:rPr>
        <w:lastRenderedPageBreak/>
        <w:t>级教学成果奖特等奖</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项（排名前二）。</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（二）作为第一指导教师指导大学生参加创新创业竞赛获得国家级奖励，满足以下条件之一者：</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r>
        <w:rPr>
          <w:rFonts w:ascii="仿宋_GB2312" w:eastAsia="仿宋_GB2312" w:hAnsi="宋体" w:cs="Courier New" w:hint="eastAsia"/>
          <w:sz w:val="32"/>
          <w:szCs w:val="32"/>
        </w:rPr>
        <w:t>1</w:t>
      </w:r>
      <w:r>
        <w:rPr>
          <w:rFonts w:ascii="仿宋_GB2312" w:eastAsia="仿宋_GB2312" w:hAnsi="宋体" w:cs="Courier New" w:hint="eastAsia"/>
          <w:sz w:val="32"/>
          <w:szCs w:val="32"/>
        </w:rPr>
        <w:t>）获得中国“互联网</w:t>
      </w:r>
      <w:r>
        <w:rPr>
          <w:rFonts w:ascii="仿宋_GB2312" w:eastAsia="仿宋_GB2312" w:hAnsi="宋体" w:cs="Courier New" w:hint="eastAsia"/>
          <w:sz w:val="32"/>
          <w:szCs w:val="32"/>
        </w:rPr>
        <w:t>+</w:t>
      </w:r>
      <w:r>
        <w:rPr>
          <w:rFonts w:ascii="仿宋_GB2312" w:eastAsia="仿宋_GB2312" w:hAnsi="宋体" w:cs="Courier New" w:hint="eastAsia"/>
          <w:sz w:val="32"/>
          <w:szCs w:val="32"/>
        </w:rPr>
        <w:t>”大学生创新创业大赛金奖</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项，或银奖</w:t>
      </w:r>
      <w:r>
        <w:rPr>
          <w:rFonts w:ascii="仿宋_GB2312" w:eastAsia="仿宋_GB2312" w:hAnsi="宋体" w:cs="Courier New" w:hint="eastAsia"/>
          <w:sz w:val="32"/>
          <w:szCs w:val="32"/>
        </w:rPr>
        <w:t>2</w:t>
      </w:r>
      <w:r>
        <w:rPr>
          <w:rFonts w:ascii="仿宋_GB2312" w:eastAsia="仿宋_GB2312" w:hAnsi="宋体" w:cs="Courier New" w:hint="eastAsia"/>
          <w:sz w:val="32"/>
          <w:szCs w:val="32"/>
        </w:rPr>
        <w:t>项；</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r>
        <w:rPr>
          <w:rFonts w:ascii="仿宋_GB2312" w:eastAsia="仿宋_GB2312" w:hAnsi="宋体" w:cs="Courier New" w:hint="eastAsia"/>
          <w:sz w:val="32"/>
          <w:szCs w:val="32"/>
        </w:rPr>
        <w:t>2</w:t>
      </w:r>
      <w:r>
        <w:rPr>
          <w:rFonts w:ascii="仿宋_GB2312" w:eastAsia="仿宋_GB2312" w:hAnsi="宋体" w:cs="Courier New" w:hint="eastAsia"/>
          <w:sz w:val="32"/>
          <w:szCs w:val="32"/>
        </w:rPr>
        <w:t>）获得“挑战杯”全国大学生课外学术作品竞赛特等奖</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项，或一等奖</w:t>
      </w:r>
      <w:r>
        <w:rPr>
          <w:rFonts w:ascii="仿宋_GB2312" w:eastAsia="仿宋_GB2312" w:hAnsi="宋体" w:cs="Courier New" w:hint="eastAsia"/>
          <w:sz w:val="32"/>
          <w:szCs w:val="32"/>
        </w:rPr>
        <w:t>2</w:t>
      </w:r>
      <w:r>
        <w:rPr>
          <w:rFonts w:ascii="仿宋_GB2312" w:eastAsia="仿宋_GB2312" w:hAnsi="宋体" w:cs="Courier New" w:hint="eastAsia"/>
          <w:sz w:val="32"/>
          <w:szCs w:val="32"/>
        </w:rPr>
        <w:t>项；</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r>
        <w:rPr>
          <w:rFonts w:ascii="仿宋_GB2312" w:eastAsia="仿宋_GB2312" w:hAnsi="宋体" w:cs="Courier New" w:hint="eastAsia"/>
          <w:sz w:val="32"/>
          <w:szCs w:val="32"/>
        </w:rPr>
        <w:t>3</w:t>
      </w:r>
      <w:r>
        <w:rPr>
          <w:rFonts w:ascii="仿宋_GB2312" w:eastAsia="仿宋_GB2312" w:hAnsi="宋体" w:cs="Courier New" w:hint="eastAsia"/>
          <w:sz w:val="32"/>
          <w:szCs w:val="32"/>
        </w:rPr>
        <w:t>）获得“创青春”全国大学生创业大赛金奖</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项及银奖</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r>
        <w:rPr>
          <w:rFonts w:ascii="仿宋_GB2312" w:eastAsia="仿宋_GB2312" w:hAnsi="宋体" w:cs="Courier New" w:hint="eastAsia"/>
          <w:sz w:val="32"/>
          <w:szCs w:val="32"/>
        </w:rPr>
        <w:t>4</w:t>
      </w:r>
      <w:r>
        <w:rPr>
          <w:rFonts w:ascii="仿宋_GB2312" w:eastAsia="仿宋_GB2312" w:hAnsi="宋体" w:cs="Courier New" w:hint="eastAsia"/>
          <w:sz w:val="32"/>
          <w:szCs w:val="32"/>
        </w:rPr>
        <w:t>）获得全国大学生数学建模竞赛最高奖杯，或三届均获一等奖</w:t>
      </w:r>
      <w:r>
        <w:rPr>
          <w:rFonts w:ascii="仿宋_GB2312" w:eastAsia="仿宋_GB2312" w:hAnsi="宋体" w:cs="Courier New" w:hint="eastAsia"/>
          <w:sz w:val="32"/>
          <w:szCs w:val="32"/>
        </w:rPr>
        <w:t>2</w:t>
      </w:r>
      <w:r>
        <w:rPr>
          <w:rFonts w:ascii="仿宋_GB2312" w:eastAsia="仿宋_GB2312" w:hAnsi="宋体" w:cs="Courier New" w:hint="eastAsia"/>
          <w:sz w:val="32"/>
          <w:szCs w:val="32"/>
        </w:rPr>
        <w:t>项，或累计获得一等奖</w:t>
      </w:r>
      <w:r>
        <w:rPr>
          <w:rFonts w:ascii="仿宋_GB2312" w:eastAsia="仿宋_GB2312" w:hAnsi="宋体" w:cs="Courier New" w:hint="eastAsia"/>
          <w:sz w:val="32"/>
          <w:szCs w:val="32"/>
        </w:rPr>
        <w:t>8</w:t>
      </w:r>
      <w:r>
        <w:rPr>
          <w:rFonts w:ascii="仿宋_GB2312" w:eastAsia="仿宋_GB2312" w:hAnsi="宋体" w:cs="Courier New" w:hint="eastAsia"/>
          <w:sz w:val="32"/>
          <w:szCs w:val="32"/>
        </w:rPr>
        <w:t>项；</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r>
        <w:rPr>
          <w:rFonts w:ascii="仿宋_GB2312" w:eastAsia="仿宋_GB2312" w:hAnsi="宋体" w:cs="Courier New" w:hint="eastAsia"/>
          <w:sz w:val="32"/>
          <w:szCs w:val="32"/>
        </w:rPr>
        <w:t>5</w:t>
      </w:r>
      <w:r>
        <w:rPr>
          <w:rFonts w:ascii="仿宋_GB2312" w:eastAsia="仿宋_GB2312" w:hAnsi="宋体" w:cs="Courier New" w:hint="eastAsia"/>
          <w:sz w:val="32"/>
          <w:szCs w:val="32"/>
        </w:rPr>
        <w:t>）获得全国大学生电子设计竞赛最高奖杯，或三届均获一等奖</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（三）积极开展教育教学改革和教学资源建设，作为第一主持完成以下工作之二者：</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r>
        <w:rPr>
          <w:rFonts w:ascii="仿宋_GB2312" w:eastAsia="仿宋_GB2312" w:hAnsi="宋体" w:cs="Courier New" w:hint="eastAsia"/>
          <w:sz w:val="32"/>
          <w:szCs w:val="32"/>
        </w:rPr>
        <w:t>1</w:t>
      </w:r>
      <w:r>
        <w:rPr>
          <w:rFonts w:ascii="仿宋_GB2312" w:eastAsia="仿宋_GB2312" w:hAnsi="宋体" w:cs="Courier New" w:hint="eastAsia"/>
          <w:sz w:val="32"/>
          <w:szCs w:val="32"/>
        </w:rPr>
        <w:t>）完成国家线下“金课”建设</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r>
        <w:rPr>
          <w:rFonts w:ascii="仿宋_GB2312" w:eastAsia="仿宋_GB2312" w:hAnsi="宋体" w:cs="Courier New" w:hint="eastAsia"/>
          <w:sz w:val="32"/>
          <w:szCs w:val="32"/>
        </w:rPr>
        <w:t>2</w:t>
      </w:r>
      <w:r>
        <w:rPr>
          <w:rFonts w:ascii="仿宋_GB2312" w:eastAsia="仿宋_GB2312" w:hAnsi="宋体" w:cs="Courier New" w:hint="eastAsia"/>
          <w:sz w:val="32"/>
          <w:szCs w:val="32"/>
        </w:rPr>
        <w:t>）完成国家线上“金课”建设</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r>
        <w:rPr>
          <w:rFonts w:ascii="仿宋_GB2312" w:eastAsia="仿宋_GB2312" w:hAnsi="宋体" w:cs="Courier New" w:hint="eastAsia"/>
          <w:sz w:val="32"/>
          <w:szCs w:val="32"/>
        </w:rPr>
        <w:t>3</w:t>
      </w:r>
      <w:r>
        <w:rPr>
          <w:rFonts w:ascii="仿宋_GB2312" w:eastAsia="仿宋_GB2312" w:hAnsi="宋体" w:cs="Courier New" w:hint="eastAsia"/>
          <w:sz w:val="32"/>
          <w:szCs w:val="32"/>
        </w:rPr>
        <w:t>）完成国家线上线下混合式“金课”建设</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r>
        <w:rPr>
          <w:rFonts w:ascii="仿宋_GB2312" w:eastAsia="仿宋_GB2312" w:hAnsi="宋体" w:cs="Courier New" w:hint="eastAsia"/>
          <w:sz w:val="32"/>
          <w:szCs w:val="32"/>
        </w:rPr>
        <w:t>4</w:t>
      </w:r>
      <w:r>
        <w:rPr>
          <w:rFonts w:ascii="仿宋_GB2312" w:eastAsia="仿宋_GB2312" w:hAnsi="宋体" w:cs="Courier New" w:hint="eastAsia"/>
          <w:sz w:val="32"/>
          <w:szCs w:val="32"/>
        </w:rPr>
        <w:t>）完成国家虚拟仿真“金课”建设</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r>
        <w:rPr>
          <w:rFonts w:ascii="仿宋_GB2312" w:eastAsia="仿宋_GB2312" w:hAnsi="宋体" w:cs="Courier New" w:hint="eastAsia"/>
          <w:sz w:val="32"/>
          <w:szCs w:val="32"/>
        </w:rPr>
        <w:t>5</w:t>
      </w:r>
      <w:r>
        <w:rPr>
          <w:rFonts w:ascii="仿宋_GB2312" w:eastAsia="仿宋_GB2312" w:hAnsi="宋体" w:cs="Courier New" w:hint="eastAsia"/>
          <w:sz w:val="32"/>
          <w:szCs w:val="32"/>
        </w:rPr>
        <w:t>）完成国家社会实践“金课”建设</w:t>
      </w:r>
      <w:r>
        <w:rPr>
          <w:rFonts w:ascii="仿宋_GB2312" w:eastAsia="仿宋_GB2312" w:hAnsi="宋体" w:cs="Courier New" w:hint="eastAsia"/>
          <w:sz w:val="32"/>
          <w:szCs w:val="32"/>
        </w:rPr>
        <w:t>1</w:t>
      </w:r>
      <w:r>
        <w:rPr>
          <w:rFonts w:ascii="仿宋_GB2312" w:eastAsia="仿宋_GB2312" w:hAnsi="宋体" w:cs="Courier New" w:hint="eastAsia"/>
          <w:sz w:val="32"/>
          <w:szCs w:val="32"/>
        </w:rPr>
        <w:t>项；</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w:t>
      </w:r>
      <w:r>
        <w:rPr>
          <w:rFonts w:ascii="仿宋_GB2312" w:eastAsia="仿宋_GB2312" w:hAnsi="宋体" w:cs="Courier New" w:hint="eastAsia"/>
          <w:sz w:val="32"/>
          <w:szCs w:val="32"/>
        </w:rPr>
        <w:t>6</w:t>
      </w:r>
      <w:r>
        <w:rPr>
          <w:rFonts w:ascii="仿宋_GB2312" w:eastAsia="仿宋_GB2312" w:hAnsi="宋体" w:cs="Courier New" w:hint="eastAsia"/>
          <w:sz w:val="32"/>
          <w:szCs w:val="32"/>
        </w:rPr>
        <w:t>）正式出版国家级规划教材</w:t>
      </w:r>
      <w:r>
        <w:rPr>
          <w:rFonts w:ascii="仿宋_GB2312" w:eastAsia="仿宋_GB2312" w:hAnsi="宋体" w:cs="Courier New" w:hint="eastAsia"/>
          <w:sz w:val="32"/>
          <w:szCs w:val="32"/>
        </w:rPr>
        <w:t>1</w:t>
      </w:r>
      <w:r>
        <w:rPr>
          <w:rFonts w:ascii="仿宋_GB2312" w:eastAsia="仿宋_GB2312" w:hAnsi="宋体" w:cs="Courier New" w:hint="eastAsia"/>
          <w:sz w:val="32"/>
          <w:szCs w:val="32"/>
        </w:rPr>
        <w:t>部。</w:t>
      </w:r>
    </w:p>
    <w:p w:rsidR="00897D11" w:rsidRDefault="008F0835">
      <w:pPr>
        <w:pStyle w:val="a3"/>
        <w:spacing w:line="500" w:lineRule="exact"/>
        <w:ind w:leftChars="43" w:left="90"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四、评选申报程序</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1.</w:t>
      </w:r>
      <w:r>
        <w:rPr>
          <w:rFonts w:ascii="仿宋_GB2312" w:eastAsia="仿宋_GB2312" w:hAnsi="宋体" w:cs="Courier New" w:hint="eastAsia"/>
          <w:sz w:val="32"/>
          <w:szCs w:val="32"/>
        </w:rPr>
        <w:t>个人申请，并提供</w:t>
      </w:r>
      <w:r>
        <w:rPr>
          <w:rFonts w:ascii="仿宋_GB2312" w:eastAsia="仿宋_GB2312" w:hAnsi="宋体" w:cs="Courier New" w:hint="eastAsia"/>
          <w:sz w:val="32"/>
          <w:szCs w:val="32"/>
        </w:rPr>
        <w:t>相关支撑材料。</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 xml:space="preserve">2. </w:t>
      </w:r>
      <w:r>
        <w:rPr>
          <w:rFonts w:ascii="仿宋_GB2312" w:eastAsia="仿宋_GB2312" w:hAnsi="宋体" w:cs="Courier New" w:hint="eastAsia"/>
          <w:sz w:val="32"/>
          <w:szCs w:val="32"/>
        </w:rPr>
        <w:t>申请人所在二级单位根据实际情况进行民主推荐，基层党组织进行师德师风考核，确定向学校推荐名单。</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3.</w:t>
      </w:r>
      <w:r>
        <w:rPr>
          <w:rFonts w:ascii="仿宋_GB2312" w:eastAsia="仿宋_GB2312" w:hAnsi="宋体" w:cs="Courier New" w:hint="eastAsia"/>
          <w:sz w:val="32"/>
          <w:szCs w:val="32"/>
        </w:rPr>
        <w:t>材料审核，教务处、人事处、教学质量监控与评估中心等部门共同对申请人材料进行审核。</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lastRenderedPageBreak/>
        <w:t>4.</w:t>
      </w:r>
      <w:r>
        <w:rPr>
          <w:rFonts w:ascii="仿宋_GB2312" w:eastAsia="仿宋_GB2312" w:hAnsi="宋体" w:cs="Courier New" w:hint="eastAsia"/>
          <w:sz w:val="32"/>
          <w:szCs w:val="32"/>
        </w:rPr>
        <w:t>评审公示，学校组织成立评审组，根据申请人的申报材料，结合教育教学工作实绩进行综合评审，并在校内进行公示五个工作日。</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5.</w:t>
      </w:r>
      <w:r>
        <w:rPr>
          <w:rFonts w:ascii="仿宋_GB2312" w:eastAsia="仿宋_GB2312" w:hAnsi="宋体" w:cs="Courier New" w:hint="eastAsia"/>
          <w:sz w:val="32"/>
          <w:szCs w:val="32"/>
        </w:rPr>
        <w:t>推荐审定，公示无异议的人员，报校长办公会议审批后，授予“南京邮电大学教学卓越奖”。</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6.</w:t>
      </w:r>
      <w:r>
        <w:rPr>
          <w:rFonts w:ascii="仿宋_GB2312" w:eastAsia="仿宋_GB2312" w:hAnsi="宋体" w:cs="Courier New" w:hint="eastAsia"/>
          <w:sz w:val="32"/>
          <w:szCs w:val="32"/>
        </w:rPr>
        <w:t>获奖人员在评优评先、岗位聘用等同等条件优先。如满足本系列高一级职称评审的工作年限及教学工作基本要求的，可由学校教学指导委员会推荐至学校高级职称评定委员会参评高一级职称，不受科研要求和淘汰比例限制。</w:t>
      </w:r>
    </w:p>
    <w:p w:rsidR="00897D11" w:rsidRDefault="008F0835">
      <w:pPr>
        <w:pStyle w:val="a3"/>
        <w:spacing w:line="500" w:lineRule="exact"/>
        <w:ind w:leftChars="43" w:left="90"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五、成果认定和评审时间</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1.</w:t>
      </w:r>
      <w:r>
        <w:rPr>
          <w:rFonts w:ascii="仿宋_GB2312" w:eastAsia="仿宋_GB2312" w:hAnsi="宋体" w:cs="Courier New" w:hint="eastAsia"/>
          <w:sz w:val="32"/>
          <w:szCs w:val="32"/>
        </w:rPr>
        <w:t>所有参评申报的成果截至上一年度</w:t>
      </w:r>
      <w:r>
        <w:rPr>
          <w:rFonts w:ascii="仿宋_GB2312" w:eastAsia="仿宋_GB2312" w:hAnsi="宋体" w:cs="Courier New" w:hint="eastAsia"/>
          <w:sz w:val="32"/>
          <w:szCs w:val="32"/>
        </w:rPr>
        <w:t>12</w:t>
      </w:r>
      <w:r>
        <w:rPr>
          <w:rFonts w:ascii="仿宋_GB2312" w:eastAsia="仿宋_GB2312" w:hAnsi="宋体" w:cs="Courier New" w:hint="eastAsia"/>
          <w:sz w:val="32"/>
          <w:szCs w:val="32"/>
        </w:rPr>
        <w:t>月</w:t>
      </w:r>
      <w:r>
        <w:rPr>
          <w:rFonts w:ascii="仿宋_GB2312" w:eastAsia="仿宋_GB2312" w:hAnsi="宋体" w:cs="Courier New" w:hint="eastAsia"/>
          <w:sz w:val="32"/>
          <w:szCs w:val="32"/>
        </w:rPr>
        <w:t>31</w:t>
      </w:r>
      <w:r>
        <w:rPr>
          <w:rFonts w:ascii="仿宋_GB2312" w:eastAsia="仿宋_GB2312" w:hAnsi="宋体" w:cs="Courier New" w:hint="eastAsia"/>
          <w:sz w:val="32"/>
          <w:szCs w:val="32"/>
        </w:rPr>
        <w:t>日。</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w:t>
      </w:r>
      <w:r>
        <w:rPr>
          <w:rFonts w:ascii="仿宋_GB2312" w:eastAsia="仿宋_GB2312" w:hAnsi="宋体" w:cs="Courier New" w:hint="eastAsia"/>
          <w:sz w:val="32"/>
          <w:szCs w:val="32"/>
        </w:rPr>
        <w:t>教学卓越奖的评审一般在每年</w:t>
      </w:r>
      <w:r>
        <w:rPr>
          <w:rFonts w:ascii="仿宋_GB2312" w:eastAsia="仿宋_GB2312" w:hAnsi="宋体" w:cs="Courier New" w:hint="eastAsia"/>
          <w:sz w:val="32"/>
          <w:szCs w:val="32"/>
        </w:rPr>
        <w:t>4</w:t>
      </w:r>
      <w:r>
        <w:rPr>
          <w:rFonts w:ascii="仿宋_GB2312" w:eastAsia="仿宋_GB2312" w:hAnsi="宋体" w:cs="Courier New" w:hint="eastAsia"/>
          <w:sz w:val="32"/>
          <w:szCs w:val="32"/>
        </w:rPr>
        <w:t>月</w:t>
      </w:r>
      <w:r>
        <w:rPr>
          <w:rFonts w:ascii="仿宋_GB2312" w:eastAsia="仿宋_GB2312" w:hAnsi="宋体" w:cs="Courier New" w:hint="eastAsia"/>
          <w:sz w:val="32"/>
          <w:szCs w:val="32"/>
        </w:rPr>
        <w:t>30</w:t>
      </w:r>
      <w:r>
        <w:rPr>
          <w:rFonts w:ascii="仿宋_GB2312" w:eastAsia="仿宋_GB2312" w:hAnsi="宋体" w:cs="Courier New" w:hint="eastAsia"/>
          <w:sz w:val="32"/>
          <w:szCs w:val="32"/>
        </w:rPr>
        <w:t>日前完成。</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六、附则</w:t>
      </w:r>
    </w:p>
    <w:p w:rsidR="00897D11" w:rsidRDefault="008F0835">
      <w:pPr>
        <w:pStyle w:val="a3"/>
        <w:spacing w:line="500" w:lineRule="exact"/>
        <w:ind w:leftChars="43" w:left="90"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本办法自公布之日起实施，由教务处和人事处负责解释。</w:t>
      </w:r>
    </w:p>
    <w:p w:rsidR="00897D11" w:rsidRDefault="00897D11">
      <w:pPr>
        <w:pStyle w:val="a3"/>
        <w:spacing w:line="500" w:lineRule="exact"/>
        <w:ind w:leftChars="43" w:left="90" w:firstLineChars="200" w:firstLine="640"/>
        <w:rPr>
          <w:rFonts w:ascii="仿宋_GB2312" w:eastAsia="仿宋_GB2312" w:hAnsi="宋体" w:cs="Courier New"/>
          <w:sz w:val="32"/>
          <w:szCs w:val="32"/>
        </w:rPr>
      </w:pPr>
    </w:p>
    <w:p w:rsidR="00897D11" w:rsidRDefault="00897D11">
      <w:pPr>
        <w:pStyle w:val="a3"/>
        <w:spacing w:line="500" w:lineRule="exact"/>
        <w:ind w:leftChars="43" w:left="90" w:firstLineChars="200" w:firstLine="640"/>
        <w:rPr>
          <w:rFonts w:ascii="仿宋_GB2312" w:eastAsia="仿宋_GB2312" w:hAnsi="宋体" w:cs="Courier New"/>
          <w:sz w:val="32"/>
          <w:szCs w:val="32"/>
        </w:rPr>
      </w:pPr>
    </w:p>
    <w:p w:rsidR="00897D11" w:rsidRDefault="00897D11">
      <w:pPr>
        <w:pStyle w:val="a3"/>
        <w:spacing w:line="500" w:lineRule="exact"/>
        <w:ind w:leftChars="43" w:left="90" w:firstLineChars="200" w:firstLine="640"/>
        <w:rPr>
          <w:rFonts w:ascii="仿宋_GB2312" w:eastAsia="仿宋_GB2312" w:hAnsi="宋体" w:cs="Courier New"/>
          <w:sz w:val="32"/>
          <w:szCs w:val="32"/>
        </w:rPr>
      </w:pPr>
    </w:p>
    <w:p w:rsidR="00897D11" w:rsidRDefault="00897D11">
      <w:pPr>
        <w:pStyle w:val="a3"/>
        <w:spacing w:line="500" w:lineRule="exact"/>
        <w:jc w:val="left"/>
        <w:rPr>
          <w:rFonts w:ascii="仿宋_GB2312" w:eastAsia="仿宋_GB2312" w:hAnsi="宋体" w:cs="Courier New"/>
          <w:b/>
          <w:sz w:val="32"/>
          <w:szCs w:val="32"/>
        </w:rPr>
      </w:pPr>
    </w:p>
    <w:p w:rsidR="00897D11" w:rsidRDefault="00897D11">
      <w:pPr>
        <w:pStyle w:val="a3"/>
        <w:spacing w:line="500" w:lineRule="exact"/>
        <w:jc w:val="left"/>
        <w:rPr>
          <w:rFonts w:ascii="仿宋_GB2312" w:eastAsia="仿宋_GB2312" w:hAnsi="宋体" w:cs="Courier New"/>
          <w:b/>
          <w:sz w:val="32"/>
          <w:szCs w:val="32"/>
        </w:rPr>
      </w:pPr>
    </w:p>
    <w:p w:rsidR="00897D11" w:rsidRDefault="00897D11">
      <w:pPr>
        <w:pStyle w:val="a3"/>
        <w:spacing w:line="500" w:lineRule="exact"/>
        <w:jc w:val="left"/>
        <w:rPr>
          <w:rFonts w:ascii="仿宋_GB2312" w:eastAsia="仿宋_GB2312" w:hAnsi="宋体" w:cs="Courier New"/>
          <w:b/>
          <w:sz w:val="32"/>
          <w:szCs w:val="32"/>
        </w:rPr>
      </w:pPr>
    </w:p>
    <w:p w:rsidR="00897D11" w:rsidRDefault="00897D11">
      <w:pPr>
        <w:pStyle w:val="a3"/>
        <w:spacing w:line="500" w:lineRule="exact"/>
        <w:jc w:val="left"/>
        <w:rPr>
          <w:rFonts w:ascii="仿宋_GB2312" w:eastAsia="仿宋_GB2312" w:hAnsi="宋体" w:cs="Courier New"/>
          <w:b/>
          <w:sz w:val="32"/>
          <w:szCs w:val="32"/>
        </w:rPr>
      </w:pPr>
    </w:p>
    <w:p w:rsidR="00897D11" w:rsidRDefault="00897D11">
      <w:pPr>
        <w:pStyle w:val="a3"/>
        <w:spacing w:line="500" w:lineRule="exact"/>
        <w:jc w:val="left"/>
        <w:rPr>
          <w:rFonts w:ascii="仿宋_GB2312" w:eastAsia="仿宋_GB2312" w:hAnsi="宋体" w:cs="Courier New"/>
          <w:b/>
          <w:sz w:val="32"/>
          <w:szCs w:val="32"/>
        </w:rPr>
      </w:pPr>
    </w:p>
    <w:p w:rsidR="00897D11" w:rsidRDefault="00897D11">
      <w:pPr>
        <w:pStyle w:val="a3"/>
        <w:spacing w:line="500" w:lineRule="exact"/>
        <w:jc w:val="left"/>
        <w:rPr>
          <w:rFonts w:ascii="仿宋_GB2312" w:eastAsia="仿宋_GB2312" w:hAnsi="宋体" w:cs="Courier New"/>
          <w:b/>
          <w:sz w:val="32"/>
          <w:szCs w:val="32"/>
        </w:rPr>
      </w:pPr>
      <w:bookmarkStart w:id="0" w:name="_GoBack"/>
      <w:bookmarkEnd w:id="0"/>
    </w:p>
    <w:p w:rsidR="00E001CD" w:rsidRDefault="00E001CD">
      <w:pPr>
        <w:pStyle w:val="a3"/>
        <w:spacing w:line="500" w:lineRule="exact"/>
        <w:jc w:val="left"/>
        <w:rPr>
          <w:rFonts w:ascii="仿宋_GB2312" w:eastAsia="仿宋_GB2312" w:hAnsi="宋体" w:cs="Courier New" w:hint="eastAsia"/>
          <w:b/>
          <w:sz w:val="32"/>
          <w:szCs w:val="32"/>
        </w:rPr>
      </w:pPr>
    </w:p>
    <w:tbl>
      <w:tblPr>
        <w:tblW w:w="8364"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
        <w:gridCol w:w="5028"/>
        <w:gridCol w:w="3316"/>
      </w:tblGrid>
      <w:tr w:rsidR="00897D11">
        <w:trPr>
          <w:cantSplit/>
        </w:trPr>
        <w:tc>
          <w:tcPr>
            <w:tcW w:w="8364" w:type="dxa"/>
            <w:gridSpan w:val="3"/>
            <w:tcBorders>
              <w:top w:val="nil"/>
              <w:bottom w:val="nil"/>
            </w:tcBorders>
          </w:tcPr>
          <w:p w:rsidR="00897D11" w:rsidRDefault="008F0835">
            <w:pPr>
              <w:tabs>
                <w:tab w:val="left" w:pos="5598"/>
              </w:tabs>
              <w:ind w:right="298"/>
              <w:rPr>
                <w:rFonts w:ascii="黑体" w:eastAsia="黑体" w:hAnsi="Times New Roman" w:cs="Times New Roman"/>
                <w:color w:val="000000"/>
                <w:sz w:val="32"/>
                <w:szCs w:val="32"/>
              </w:rPr>
            </w:pPr>
            <w:r>
              <w:rPr>
                <w:rFonts w:ascii="黑体" w:eastAsia="黑体" w:hAnsi="Times New Roman" w:cs="Times New Roman" w:hint="eastAsia"/>
                <w:color w:val="000000"/>
                <w:sz w:val="32"/>
                <w:szCs w:val="32"/>
              </w:rPr>
              <w:t>主题词：教学卓越奖</w:t>
            </w:r>
            <w:r>
              <w:rPr>
                <w:rFonts w:ascii="黑体" w:eastAsia="黑体" w:hAnsi="Times New Roman" w:cs="Times New Roman" w:hint="eastAsia"/>
                <w:color w:val="000000"/>
                <w:sz w:val="32"/>
                <w:szCs w:val="32"/>
              </w:rPr>
              <w:t xml:space="preserve"> </w:t>
            </w:r>
            <w:r>
              <w:rPr>
                <w:rFonts w:ascii="黑体" w:eastAsia="黑体" w:hAnsi="Times New Roman" w:cs="Times New Roman" w:hint="eastAsia"/>
                <w:color w:val="000000"/>
                <w:sz w:val="32"/>
                <w:szCs w:val="32"/>
              </w:rPr>
              <w:t>评审</w:t>
            </w:r>
            <w:r>
              <w:rPr>
                <w:rFonts w:ascii="黑体" w:eastAsia="黑体" w:hAnsi="Times New Roman" w:cs="Times New Roman" w:hint="eastAsia"/>
                <w:color w:val="000000"/>
                <w:sz w:val="32"/>
                <w:szCs w:val="32"/>
              </w:rPr>
              <w:t xml:space="preserve"> </w:t>
            </w:r>
            <w:r>
              <w:rPr>
                <w:rFonts w:ascii="黑体" w:eastAsia="黑体" w:hAnsi="Times New Roman" w:cs="Times New Roman" w:hint="eastAsia"/>
                <w:color w:val="000000"/>
                <w:sz w:val="32"/>
                <w:szCs w:val="32"/>
              </w:rPr>
              <w:t>办法</w:t>
            </w:r>
          </w:p>
        </w:tc>
      </w:tr>
      <w:tr w:rsidR="00897D11">
        <w:trPr>
          <w:cantSplit/>
        </w:trPr>
        <w:tc>
          <w:tcPr>
            <w:tcW w:w="20" w:type="dxa"/>
            <w:tcBorders>
              <w:top w:val="single" w:sz="4" w:space="0" w:color="auto"/>
              <w:bottom w:val="single" w:sz="4" w:space="0" w:color="auto"/>
            </w:tcBorders>
          </w:tcPr>
          <w:p w:rsidR="00897D11" w:rsidRDefault="00897D11">
            <w:pPr>
              <w:tabs>
                <w:tab w:val="left" w:pos="5598"/>
              </w:tabs>
              <w:spacing w:line="440" w:lineRule="exact"/>
              <w:rPr>
                <w:rFonts w:ascii="仿宋_GB2312" w:eastAsia="仿宋_GB2312" w:hAnsi="Times New Roman" w:cs="Times New Roman"/>
                <w:color w:val="000000"/>
                <w:sz w:val="32"/>
                <w:szCs w:val="32"/>
              </w:rPr>
            </w:pPr>
          </w:p>
        </w:tc>
        <w:tc>
          <w:tcPr>
            <w:tcW w:w="5028" w:type="dxa"/>
            <w:tcBorders>
              <w:top w:val="single" w:sz="4" w:space="0" w:color="auto"/>
              <w:bottom w:val="single" w:sz="4" w:space="0" w:color="auto"/>
            </w:tcBorders>
          </w:tcPr>
          <w:p w:rsidR="00897D11" w:rsidRDefault="008F0835">
            <w:pPr>
              <w:tabs>
                <w:tab w:val="left" w:pos="5598"/>
              </w:tabs>
              <w:spacing w:beforeLines="50" w:before="156" w:afterLines="50" w:after="156" w:line="440" w:lineRule="exac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南京邮电大学校长办公室</w:t>
            </w:r>
          </w:p>
        </w:tc>
        <w:tc>
          <w:tcPr>
            <w:tcW w:w="3316" w:type="dxa"/>
            <w:tcBorders>
              <w:top w:val="single" w:sz="4" w:space="0" w:color="auto"/>
              <w:bottom w:val="single" w:sz="4" w:space="0" w:color="auto"/>
            </w:tcBorders>
          </w:tcPr>
          <w:p w:rsidR="00897D11" w:rsidRDefault="008F0835">
            <w:pPr>
              <w:tabs>
                <w:tab w:val="left" w:pos="5598"/>
              </w:tabs>
              <w:spacing w:beforeLines="50" w:before="156" w:afterLines="50" w:after="156" w:line="440" w:lineRule="exac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201</w:t>
            </w:r>
            <w:r>
              <w:rPr>
                <w:rFonts w:ascii="仿宋_GB2312" w:eastAsia="仿宋_GB2312" w:hAnsi="Times New Roman" w:cs="Times New Roman"/>
                <w:color w:val="000000"/>
                <w:sz w:val="32"/>
                <w:szCs w:val="32"/>
              </w:rPr>
              <w:t>9</w:t>
            </w:r>
            <w:r>
              <w:rPr>
                <w:rFonts w:ascii="仿宋_GB2312" w:eastAsia="仿宋_GB2312" w:hAnsi="Times New Roman" w:cs="Times New Roman" w:hint="eastAsia"/>
                <w:color w:val="000000"/>
                <w:sz w:val="32"/>
                <w:szCs w:val="32"/>
              </w:rPr>
              <w:t>年</w:t>
            </w:r>
            <w:r>
              <w:rPr>
                <w:rFonts w:ascii="仿宋_GB2312" w:eastAsia="仿宋_GB2312" w:hAnsi="Times New Roman" w:cs="Times New Roman"/>
                <w:color w:val="000000"/>
                <w:sz w:val="32"/>
                <w:szCs w:val="32"/>
              </w:rPr>
              <w:t>12</w:t>
            </w:r>
            <w:r>
              <w:rPr>
                <w:rFonts w:ascii="仿宋_GB2312" w:eastAsia="仿宋_GB2312" w:hAnsi="Times New Roman" w:cs="Times New Roman" w:hint="eastAsia"/>
                <w:color w:val="000000"/>
                <w:sz w:val="32"/>
                <w:szCs w:val="32"/>
              </w:rPr>
              <w:t>月</w:t>
            </w:r>
            <w:r>
              <w:rPr>
                <w:rFonts w:ascii="仿宋_GB2312" w:eastAsia="仿宋_GB2312" w:hAnsi="Times New Roman" w:cs="Times New Roman"/>
                <w:color w:val="000000"/>
                <w:sz w:val="32"/>
                <w:szCs w:val="32"/>
              </w:rPr>
              <w:t>11</w:t>
            </w:r>
            <w:r>
              <w:rPr>
                <w:rFonts w:ascii="仿宋_GB2312" w:eastAsia="仿宋_GB2312" w:hAnsi="Times New Roman" w:cs="Times New Roman" w:hint="eastAsia"/>
                <w:color w:val="000000"/>
                <w:sz w:val="32"/>
                <w:szCs w:val="32"/>
              </w:rPr>
              <w:t>日印发</w:t>
            </w:r>
          </w:p>
        </w:tc>
      </w:tr>
    </w:tbl>
    <w:p w:rsidR="00897D11" w:rsidRDefault="00897D11" w:rsidP="00E001CD">
      <w:pPr>
        <w:pStyle w:val="a3"/>
        <w:spacing w:line="500" w:lineRule="exact"/>
        <w:rPr>
          <w:rFonts w:ascii="仿宋_GB2312" w:eastAsia="仿宋_GB2312" w:hAnsi="宋体" w:cs="Courier New" w:hint="eastAsia"/>
          <w:sz w:val="32"/>
          <w:szCs w:val="32"/>
        </w:rPr>
      </w:pPr>
    </w:p>
    <w:sectPr w:rsidR="00897D1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835" w:rsidRDefault="008F0835">
      <w:r>
        <w:separator/>
      </w:r>
    </w:p>
  </w:endnote>
  <w:endnote w:type="continuationSeparator" w:id="0">
    <w:p w:rsidR="008F0835" w:rsidRDefault="008F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11" w:rsidRDefault="008F0835">
    <w:pPr>
      <w:pStyle w:val="a5"/>
      <w:jc w:val="center"/>
      <w:rPr>
        <w:rFonts w:asciiTheme="majorHAnsi" w:eastAsiaTheme="majorEastAsia" w:hAnsiTheme="majorHAnsi" w:cstheme="majorBidi"/>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sz w:val="28"/>
                              <w:szCs w:val="28"/>
                              <w:lang w:val="zh-CN"/>
                            </w:rPr>
                            <w:id w:val="883674902"/>
                          </w:sdtPr>
                          <w:sdtEndPr/>
                          <w:sdtContent>
                            <w:p w:rsidR="00897D11" w:rsidRDefault="008F0835">
                              <w:pPr>
                                <w:pStyle w:val="a5"/>
                                <w:jc w:val="center"/>
                                <w:rPr>
                                  <w:rFonts w:asciiTheme="majorHAnsi" w:eastAsiaTheme="majorEastAsia" w:hAnsiTheme="majorHAnsi" w:cstheme="majorBidi"/>
                                  <w:sz w:val="28"/>
                                  <w:szCs w:val="28"/>
                                  <w:lang w:val="zh-CN"/>
                                </w:rPr>
                              </w:pPr>
                              <w:r>
                                <w:rPr>
                                  <w:rFonts w:asciiTheme="majorHAnsi" w:eastAsiaTheme="majorEastAsia" w:hAnsiTheme="majorHAnsi" w:cstheme="majorBidi"/>
                                  <w:sz w:val="28"/>
                                  <w:szCs w:val="28"/>
                                  <w:lang w:val="zh-CN"/>
                                </w:rPr>
                                <w:t xml:space="preserve"> </w:t>
                              </w:r>
                              <w:r>
                                <w:rPr>
                                  <w:rFonts w:cs="Times New Roman"/>
                                  <w:sz w:val="22"/>
                                  <w:szCs w:val="22"/>
                                </w:rPr>
                                <w:fldChar w:fldCharType="begin"/>
                              </w:r>
                              <w:r>
                                <w:instrText>PAGE    \* MERGEFORMAT</w:instrText>
                              </w:r>
                              <w:r>
                                <w:rPr>
                                  <w:rFonts w:cs="Times New Roman"/>
                                  <w:sz w:val="22"/>
                                  <w:szCs w:val="22"/>
                                </w:rPr>
                                <w:fldChar w:fldCharType="separate"/>
                              </w:r>
                              <w:r w:rsidR="00E001CD" w:rsidRPr="00E001CD">
                                <w:rPr>
                                  <w:rFonts w:asciiTheme="majorHAnsi" w:eastAsiaTheme="majorEastAsia" w:hAnsiTheme="majorHAnsi" w:cstheme="majorBidi"/>
                                  <w:noProof/>
                                  <w:sz w:val="28"/>
                                  <w:szCs w:val="28"/>
                                  <w:lang w:val="zh-CN"/>
                                </w:rPr>
                                <w:t>-</w:t>
                              </w:r>
                              <w:r w:rsidR="00E001CD">
                                <w:rPr>
                                  <w:noProof/>
                                </w:rPr>
                                <w:t xml:space="preserve"> 4 -</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sdtContent>
                        </w:sdt>
                        <w:p w:rsidR="00897D11" w:rsidRDefault="00897D11">
                          <w:pPr>
                            <w:rPr>
                              <w:rFonts w:asciiTheme="majorHAnsi" w:eastAsiaTheme="majorEastAsia" w:hAnsiTheme="majorHAnsi" w:cstheme="majorBidi"/>
                              <w:sz w:val="28"/>
                              <w:szCs w:val="28"/>
                              <w:lang w:val="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rPr>
                        <w:rFonts w:asciiTheme="majorHAnsi" w:eastAsiaTheme="majorEastAsia" w:hAnsiTheme="majorHAnsi" w:cstheme="majorBidi"/>
                        <w:sz w:val="28"/>
                        <w:szCs w:val="28"/>
                        <w:lang w:val="zh-CN"/>
                      </w:rPr>
                      <w:id w:val="883674902"/>
                    </w:sdtPr>
                    <w:sdtEndPr/>
                    <w:sdtContent>
                      <w:p w:rsidR="00897D11" w:rsidRDefault="008F0835">
                        <w:pPr>
                          <w:pStyle w:val="a5"/>
                          <w:jc w:val="center"/>
                          <w:rPr>
                            <w:rFonts w:asciiTheme="majorHAnsi" w:eastAsiaTheme="majorEastAsia" w:hAnsiTheme="majorHAnsi" w:cstheme="majorBidi"/>
                            <w:sz w:val="28"/>
                            <w:szCs w:val="28"/>
                            <w:lang w:val="zh-CN"/>
                          </w:rPr>
                        </w:pPr>
                        <w:r>
                          <w:rPr>
                            <w:rFonts w:asciiTheme="majorHAnsi" w:eastAsiaTheme="majorEastAsia" w:hAnsiTheme="majorHAnsi" w:cstheme="majorBidi"/>
                            <w:sz w:val="28"/>
                            <w:szCs w:val="28"/>
                            <w:lang w:val="zh-CN"/>
                          </w:rPr>
                          <w:t xml:space="preserve"> </w:t>
                        </w:r>
                        <w:r>
                          <w:rPr>
                            <w:rFonts w:cs="Times New Roman"/>
                            <w:sz w:val="22"/>
                            <w:szCs w:val="22"/>
                          </w:rPr>
                          <w:fldChar w:fldCharType="begin"/>
                        </w:r>
                        <w:r>
                          <w:instrText>PAGE    \* MERGEFORMAT</w:instrText>
                        </w:r>
                        <w:r>
                          <w:rPr>
                            <w:rFonts w:cs="Times New Roman"/>
                            <w:sz w:val="22"/>
                            <w:szCs w:val="22"/>
                          </w:rPr>
                          <w:fldChar w:fldCharType="separate"/>
                        </w:r>
                        <w:r w:rsidR="00E001CD" w:rsidRPr="00E001CD">
                          <w:rPr>
                            <w:rFonts w:asciiTheme="majorHAnsi" w:eastAsiaTheme="majorEastAsia" w:hAnsiTheme="majorHAnsi" w:cstheme="majorBidi"/>
                            <w:noProof/>
                            <w:sz w:val="28"/>
                            <w:szCs w:val="28"/>
                            <w:lang w:val="zh-CN"/>
                          </w:rPr>
                          <w:t>-</w:t>
                        </w:r>
                        <w:r w:rsidR="00E001CD">
                          <w:rPr>
                            <w:noProof/>
                          </w:rPr>
                          <w:t xml:space="preserve"> 4 -</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sdtContent>
                  </w:sdt>
                  <w:p w:rsidR="00897D11" w:rsidRDefault="00897D11">
                    <w:pPr>
                      <w:rPr>
                        <w:rFonts w:asciiTheme="majorHAnsi" w:eastAsiaTheme="majorEastAsia" w:hAnsiTheme="majorHAnsi" w:cstheme="majorBidi"/>
                        <w:sz w:val="28"/>
                        <w:szCs w:val="28"/>
                        <w:lang w:val="zh-CN"/>
                      </w:rPr>
                    </w:pPr>
                  </w:p>
                </w:txbxContent>
              </v:textbox>
              <w10:wrap anchorx="margin"/>
            </v:shape>
          </w:pict>
        </mc:Fallback>
      </mc:AlternateContent>
    </w:r>
  </w:p>
  <w:p w:rsidR="00897D11" w:rsidRDefault="00897D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835" w:rsidRDefault="008F0835">
      <w:r>
        <w:separator/>
      </w:r>
    </w:p>
  </w:footnote>
  <w:footnote w:type="continuationSeparator" w:id="0">
    <w:p w:rsidR="008F0835" w:rsidRDefault="008F0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F6"/>
    <w:rsid w:val="0004576E"/>
    <w:rsid w:val="001A23CE"/>
    <w:rsid w:val="001D1FB7"/>
    <w:rsid w:val="001F3B76"/>
    <w:rsid w:val="002378F6"/>
    <w:rsid w:val="00246C6E"/>
    <w:rsid w:val="00305588"/>
    <w:rsid w:val="0031569D"/>
    <w:rsid w:val="003D5AC5"/>
    <w:rsid w:val="003E17D2"/>
    <w:rsid w:val="004756CC"/>
    <w:rsid w:val="004C3C5C"/>
    <w:rsid w:val="00633342"/>
    <w:rsid w:val="006D0AAC"/>
    <w:rsid w:val="00744B0D"/>
    <w:rsid w:val="007E70C3"/>
    <w:rsid w:val="008400D7"/>
    <w:rsid w:val="00897D11"/>
    <w:rsid w:val="008F0835"/>
    <w:rsid w:val="00981429"/>
    <w:rsid w:val="009D1E58"/>
    <w:rsid w:val="00A3493E"/>
    <w:rsid w:val="00A35437"/>
    <w:rsid w:val="00A51B04"/>
    <w:rsid w:val="00B33AC0"/>
    <w:rsid w:val="00BD4E73"/>
    <w:rsid w:val="00C35BA7"/>
    <w:rsid w:val="00D8785D"/>
    <w:rsid w:val="00E001CD"/>
    <w:rsid w:val="00EB0385"/>
    <w:rsid w:val="00F16E89"/>
    <w:rsid w:val="00F627F7"/>
    <w:rsid w:val="00F8553B"/>
    <w:rsid w:val="00FA5DA3"/>
    <w:rsid w:val="20FC13BD"/>
    <w:rsid w:val="56FD660A"/>
    <w:rsid w:val="69E7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FFB38-0FFE-45A2-A88A-44488BDD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Times New Roman"/>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qFormat/>
    <w:rPr>
      <w:rFonts w:ascii="Times New Roman" w:eastAsia="仿宋_GB2312" w:hAnsi="Times New Roman" w:cs="Times New Roman"/>
      <w:b/>
      <w:bCs/>
      <w:kern w:val="44"/>
      <w:sz w:val="44"/>
      <w:szCs w:val="44"/>
    </w:rPr>
  </w:style>
  <w:style w:type="character" w:customStyle="1" w:styleId="Char">
    <w:name w:val="纯文本 Char"/>
    <w:basedOn w:val="a0"/>
    <w:link w:val="a3"/>
    <w:qFormat/>
    <w:rPr>
      <w:rFonts w:ascii="宋体" w:eastAsia="宋体" w:hAnsi="Courier New" w:cs="Times New Roman"/>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A9B2D-B753-429C-97CC-5619EBF9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230</Words>
  <Characters>1315</Characters>
  <Application>Microsoft Office Word</Application>
  <DocSecurity>0</DocSecurity>
  <Lines>10</Lines>
  <Paragraphs>3</Paragraphs>
  <ScaleCrop>false</ScaleCrop>
  <Company>Microsoft</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shen</cp:lastModifiedBy>
  <cp:revision>18</cp:revision>
  <cp:lastPrinted>2020-04-08T04:38:00Z</cp:lastPrinted>
  <dcterms:created xsi:type="dcterms:W3CDTF">2019-12-02T08:35:00Z</dcterms:created>
  <dcterms:modified xsi:type="dcterms:W3CDTF">2020-04-08T04:40:00Z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