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F97CA">
      <w:pPr>
        <w:keepNext w:val="0"/>
        <w:keepLines w:val="0"/>
        <w:pageBreakBefore w:val="0"/>
        <w:kinsoku/>
        <w:wordWrap/>
        <w:overflowPunct/>
        <w:topLinePunct w:val="0"/>
        <w:autoSpaceDE/>
        <w:autoSpaceDN/>
        <w:bidi w:val="0"/>
        <w:adjustRightInd/>
        <w:snapToGrid/>
        <w:spacing w:after="0" w:line="400" w:lineRule="atLeast"/>
        <w:jc w:val="center"/>
        <w:rPr>
          <w:rFonts w:hint="eastAsia" w:ascii="宋体" w:hAnsi="宋体" w:eastAsia="宋体" w:cs="仿宋"/>
          <w:b/>
          <w:kern w:val="0"/>
          <w:sz w:val="32"/>
          <w:szCs w:val="32"/>
          <w14:ligatures w14:val="none"/>
        </w:rPr>
      </w:pPr>
      <w:r>
        <w:rPr>
          <w:rFonts w:hint="eastAsia" w:ascii="宋体" w:hAnsi="宋体" w:eastAsia="宋体" w:cs="仿宋"/>
          <w:b/>
          <w:kern w:val="0"/>
          <w:sz w:val="32"/>
          <w:szCs w:val="32"/>
          <w14:ligatures w14:val="none"/>
        </w:rPr>
        <w:t>关于</w:t>
      </w:r>
      <w:r>
        <w:rPr>
          <w:rFonts w:ascii="宋体" w:hAnsi="宋体" w:eastAsia="宋体" w:cs="仿宋"/>
          <w:b/>
          <w:kern w:val="0"/>
          <w:sz w:val="32"/>
          <w:szCs w:val="32"/>
          <w14:ligatures w14:val="none"/>
        </w:rPr>
        <w:t>2026年</w:t>
      </w:r>
      <w:r>
        <w:rPr>
          <w:rFonts w:hint="eastAsia" w:ascii="宋体" w:hAnsi="宋体" w:eastAsia="宋体" w:cs="仿宋"/>
          <w:b/>
          <w:kern w:val="0"/>
          <w:sz w:val="32"/>
          <w:szCs w:val="32"/>
          <w14:ligatures w14:val="none"/>
        </w:rPr>
        <w:t>暑假联合国国际组织人才培养</w:t>
      </w:r>
      <w:r>
        <w:rPr>
          <w:rFonts w:ascii="宋体" w:hAnsi="宋体" w:eastAsia="宋体" w:cs="仿宋"/>
          <w:b/>
          <w:kern w:val="0"/>
          <w:sz w:val="32"/>
          <w:szCs w:val="32"/>
          <w14:ligatures w14:val="none"/>
        </w:rPr>
        <w:t>项目报名通知</w:t>
      </w:r>
    </w:p>
    <w:p w14:paraId="43CE1EC4">
      <w:pPr>
        <w:keepNext w:val="0"/>
        <w:keepLines w:val="0"/>
        <w:pageBreakBefore w:val="0"/>
        <w:widowControl/>
        <w:kinsoku/>
        <w:wordWrap/>
        <w:overflowPunct/>
        <w:topLinePunct w:val="0"/>
        <w:autoSpaceDE/>
        <w:autoSpaceDN/>
        <w:bidi w:val="0"/>
        <w:adjustRightInd/>
        <w:snapToGrid/>
        <w:spacing w:after="0" w:line="400" w:lineRule="atLeast"/>
        <w:rPr>
          <w:rFonts w:hint="eastAsia" w:cs="仿宋" w:asciiTheme="minorEastAsia" w:hAnsiTheme="minorEastAsia"/>
          <w:b/>
          <w:bCs/>
          <w:kern w:val="0"/>
          <w:sz w:val="24"/>
          <w14:ligatures w14:val="none"/>
        </w:rPr>
      </w:pPr>
    </w:p>
    <w:p w14:paraId="3FF84DDC">
      <w:pPr>
        <w:keepNext w:val="0"/>
        <w:keepLines w:val="0"/>
        <w:pageBreakBefore w:val="0"/>
        <w:widowControl/>
        <w:kinsoku/>
        <w:wordWrap/>
        <w:overflowPunct/>
        <w:topLinePunct w:val="0"/>
        <w:autoSpaceDE/>
        <w:autoSpaceDN/>
        <w:bidi w:val="0"/>
        <w:adjustRightInd/>
        <w:snapToGrid/>
        <w:spacing w:after="0" w:line="400" w:lineRule="atLeast"/>
        <w:rPr>
          <w:rFonts w:hint="eastAsia" w:cs="仿宋" w:asciiTheme="minorEastAsia" w:hAnsiTheme="minorEastAsia"/>
          <w:b/>
          <w:bCs/>
          <w:kern w:val="0"/>
          <w:sz w:val="24"/>
          <w14:ligatures w14:val="none"/>
        </w:rPr>
      </w:pPr>
      <w:r>
        <w:rPr>
          <w:rFonts w:cs="仿宋" w:asciiTheme="minorEastAsia" w:hAnsiTheme="minorEastAsia"/>
          <w:b/>
          <w:bCs/>
          <w:kern w:val="0"/>
          <w:sz w:val="24"/>
          <w14:ligatures w14:val="none"/>
        </w:rPr>
        <w:t>一、</w:t>
      </w:r>
      <w:r>
        <w:rPr>
          <w:rFonts w:hint="eastAsia" w:cs="仿宋" w:asciiTheme="minorEastAsia" w:hAnsiTheme="minorEastAsia"/>
          <w:b/>
          <w:bCs/>
          <w:kern w:val="0"/>
          <w:sz w:val="24"/>
          <w14:ligatures w14:val="none"/>
        </w:rPr>
        <w:t>主办方简介</w:t>
      </w:r>
    </w:p>
    <w:p w14:paraId="41424D4C">
      <w:pPr>
        <w:keepNext w:val="0"/>
        <w:keepLines w:val="0"/>
        <w:pageBreakBefore w:val="0"/>
        <w:widowControl/>
        <w:kinsoku/>
        <w:wordWrap/>
        <w:overflowPunct/>
        <w:topLinePunct w:val="0"/>
        <w:autoSpaceDE/>
        <w:autoSpaceDN/>
        <w:bidi w:val="0"/>
        <w:adjustRightInd/>
        <w:snapToGrid/>
        <w:spacing w:after="0" w:line="400" w:lineRule="atLeast"/>
        <w:ind w:firstLine="482" w:firstLineChars="200"/>
        <w:rPr>
          <w:rFonts w:hint="eastAsia" w:asciiTheme="minorEastAsia" w:hAnsiTheme="minorEastAsia"/>
          <w:bCs/>
          <w:sz w:val="24"/>
        </w:rPr>
      </w:pPr>
      <w:r>
        <w:rPr>
          <w:rFonts w:hint="eastAsia" w:asciiTheme="minorEastAsia" w:hAnsiTheme="minorEastAsia"/>
          <w:b/>
          <w:sz w:val="24"/>
        </w:rPr>
        <w:t xml:space="preserve">联合国 (United Nations) </w:t>
      </w:r>
      <w:r>
        <w:rPr>
          <w:rFonts w:hint="eastAsia" w:asciiTheme="minorEastAsia" w:hAnsiTheme="minorEastAsia"/>
          <w:bCs/>
          <w:sz w:val="24"/>
        </w:rPr>
        <w:t>是第二次世界大战后由主权国家组成的国际组织。1945年10月24日，在美国旧金山签订生效的《联合国宪章》，标志着联合国正式成立。联合国致力于促进各国在国际法、国际安全、经济发展、社会进步、人权及实现世界和平方面的合作。联合国是一个国际性组织，现有会员国193个。联合国安全理事会的五大常任理事国有：美利坚合众国、俄罗斯联邦、大不列颠及北爱尔兰联合王国、法兰西共和国和中华人民共和国。联合国的行政首长是联合国秘书长，当前由安东尼奥·古特雷斯担任。联合国共有六种工作语言，分别为英语、法语、俄语、汉语、阿拉伯语和西班牙语。联合国在维护世界和平，缓和国际紧张局势，解决地区冲突方面，在协调国际经济关系，促进世界各国经济、科学、文化的合作与交流方面，都发挥着相当积极的作用。</w:t>
      </w:r>
    </w:p>
    <w:p w14:paraId="2D9FB9EF">
      <w:pPr>
        <w:keepNext w:val="0"/>
        <w:keepLines w:val="0"/>
        <w:pageBreakBefore w:val="0"/>
        <w:widowControl/>
        <w:kinsoku/>
        <w:wordWrap/>
        <w:overflowPunct/>
        <w:topLinePunct w:val="0"/>
        <w:autoSpaceDE/>
        <w:autoSpaceDN/>
        <w:bidi w:val="0"/>
        <w:adjustRightInd/>
        <w:snapToGrid/>
        <w:spacing w:after="0" w:line="400" w:lineRule="atLeast"/>
        <w:rPr>
          <w:rFonts w:hint="eastAsia" w:asciiTheme="minorEastAsia" w:hAnsiTheme="minorEastAsia"/>
          <w:b/>
          <w:sz w:val="24"/>
          <w:u w:val="single"/>
        </w:rPr>
      </w:pPr>
    </w:p>
    <w:p w14:paraId="29CEA4F3">
      <w:pPr>
        <w:keepNext w:val="0"/>
        <w:keepLines w:val="0"/>
        <w:pageBreakBefore w:val="0"/>
        <w:widowControl/>
        <w:kinsoku/>
        <w:wordWrap/>
        <w:overflowPunct/>
        <w:topLinePunct w:val="0"/>
        <w:autoSpaceDE/>
        <w:autoSpaceDN/>
        <w:bidi w:val="0"/>
        <w:adjustRightInd/>
        <w:snapToGrid/>
        <w:spacing w:after="0" w:line="400" w:lineRule="atLeast"/>
        <w:rPr>
          <w:rFonts w:hint="eastAsia" w:cs="仿宋" w:asciiTheme="minorEastAsia" w:hAnsiTheme="minorEastAsia" w:eastAsiaTheme="minorEastAsia"/>
          <w:b/>
          <w:bCs/>
          <w:kern w:val="0"/>
          <w:sz w:val="24"/>
          <w:lang w:val="en-US" w:eastAsia="zh-CN"/>
          <w14:ligatures w14:val="none"/>
        </w:rPr>
      </w:pPr>
      <w:r>
        <w:rPr>
          <w:rFonts w:cs="仿宋" w:asciiTheme="minorEastAsia" w:hAnsiTheme="minorEastAsia"/>
          <w:b/>
          <w:bCs/>
          <w:kern w:val="0"/>
          <w:sz w:val="24"/>
          <w14:ligatures w14:val="none"/>
        </w:rPr>
        <w:t>二、项目</w:t>
      </w:r>
      <w:r>
        <w:rPr>
          <w:rFonts w:hint="eastAsia" w:cs="仿宋" w:asciiTheme="minorEastAsia" w:hAnsiTheme="minorEastAsia"/>
          <w:b/>
          <w:bCs/>
          <w:kern w:val="0"/>
          <w:sz w:val="24"/>
          <w14:ligatures w14:val="none"/>
        </w:rPr>
        <w:t>简介</w:t>
      </w:r>
      <w:r>
        <w:rPr>
          <w:rFonts w:hint="eastAsia" w:cs="仿宋" w:asciiTheme="minorEastAsia" w:hAnsiTheme="minorEastAsia"/>
          <w:b/>
          <w:bCs/>
          <w:kern w:val="0"/>
          <w:sz w:val="24"/>
          <w:lang w:val="en-US" w:eastAsia="zh-CN"/>
          <w14:ligatures w14:val="none"/>
        </w:rPr>
        <w:t xml:space="preserve"> </w:t>
      </w:r>
    </w:p>
    <w:p w14:paraId="779ACAC7">
      <w:pPr>
        <w:keepNext w:val="0"/>
        <w:keepLines w:val="0"/>
        <w:pageBreakBefore w:val="0"/>
        <w:widowControl w:val="0"/>
        <w:kinsoku/>
        <w:wordWrap/>
        <w:overflowPunct/>
        <w:topLinePunct w:val="0"/>
        <w:autoSpaceDE/>
        <w:autoSpaceDN/>
        <w:bidi w:val="0"/>
        <w:adjustRightInd/>
        <w:snapToGrid/>
        <w:spacing w:after="0" w:line="400" w:lineRule="atLeast"/>
        <w:ind w:firstLine="480" w:firstLineChars="200"/>
        <w:textAlignment w:val="auto"/>
        <w:rPr>
          <w:rFonts w:hint="eastAsia" w:asciiTheme="minorEastAsia" w:hAnsiTheme="minorEastAsia"/>
          <w:sz w:val="24"/>
        </w:rPr>
      </w:pPr>
      <w:r>
        <w:rPr>
          <w:rFonts w:hint="eastAsia" w:asciiTheme="minorEastAsia" w:hAnsiTheme="minorEastAsia"/>
          <w:sz w:val="24"/>
        </w:rPr>
        <w:t>项目的不同主题将在不同国家与地区举办，学员在项目过程中将有机会领略古典与现代艺术相结合的国度，体验不一样的风土人情。</w:t>
      </w:r>
    </w:p>
    <w:tbl>
      <w:tblPr>
        <w:tblStyle w:val="7"/>
        <w:tblpPr w:leftFromText="180" w:rightFromText="180" w:vertAnchor="text" w:horzAnchor="margin" w:tblpXSpec="center" w:tblpY="88"/>
        <w:tblW w:w="45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693"/>
        <w:gridCol w:w="2410"/>
        <w:gridCol w:w="1702"/>
      </w:tblGrid>
      <w:tr w14:paraId="0735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8" w:type="dxa"/>
            <w:shd w:val="clear" w:color="auto" w:fill="DAE3F4" w:themeFill="accent1" w:themeFillTint="33"/>
            <w:vAlign w:val="center"/>
          </w:tcPr>
          <w:p w14:paraId="6DF74D6A">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ajorEastAsia" w:hAnsiTheme="majorEastAsia" w:eastAsiaTheme="majorEastAsia" w:cstheme="majorEastAsia"/>
                <w:b/>
                <w:bCs/>
                <w:kern w:val="0"/>
                <w:szCs w:val="22"/>
                <w14:ligatures w14:val="none"/>
              </w:rPr>
            </w:pPr>
            <w:r>
              <w:rPr>
                <w:rFonts w:hint="eastAsia" w:asciiTheme="majorEastAsia" w:hAnsiTheme="majorEastAsia" w:eastAsiaTheme="majorEastAsia" w:cstheme="majorEastAsia"/>
                <w:b/>
                <w:bCs/>
                <w:kern w:val="0"/>
                <w:szCs w:val="22"/>
                <w14:ligatures w14:val="none"/>
              </w:rPr>
              <w:t>主办方</w:t>
            </w:r>
          </w:p>
        </w:tc>
        <w:tc>
          <w:tcPr>
            <w:tcW w:w="2693" w:type="dxa"/>
            <w:shd w:val="clear" w:color="auto" w:fill="DAE3F4" w:themeFill="accent1" w:themeFillTint="33"/>
            <w:vAlign w:val="center"/>
          </w:tcPr>
          <w:p w14:paraId="4361CC6D">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ajorEastAsia" w:hAnsiTheme="majorEastAsia" w:eastAsiaTheme="majorEastAsia" w:cstheme="majorEastAsia"/>
                <w:b/>
                <w:bCs/>
                <w:kern w:val="0"/>
                <w:szCs w:val="22"/>
                <w14:ligatures w14:val="none"/>
              </w:rPr>
            </w:pPr>
            <w:r>
              <w:rPr>
                <w:rFonts w:hint="eastAsia" w:asciiTheme="majorEastAsia" w:hAnsiTheme="majorEastAsia" w:eastAsiaTheme="majorEastAsia" w:cstheme="majorEastAsia"/>
                <w:b/>
                <w:bCs/>
                <w:kern w:val="0"/>
                <w:szCs w:val="22"/>
                <w14:ligatures w14:val="none"/>
              </w:rPr>
              <w:t>课程主题</w:t>
            </w:r>
          </w:p>
        </w:tc>
        <w:tc>
          <w:tcPr>
            <w:tcW w:w="2410" w:type="dxa"/>
            <w:shd w:val="clear" w:color="auto" w:fill="DAE3F4" w:themeFill="accent1" w:themeFillTint="33"/>
            <w:vAlign w:val="center"/>
          </w:tcPr>
          <w:p w14:paraId="19EC4140">
            <w:pPr>
              <w:keepNext w:val="0"/>
              <w:keepLines w:val="0"/>
              <w:pageBreakBefore w:val="0"/>
              <w:kinsoku/>
              <w:wordWrap/>
              <w:overflowPunct/>
              <w:topLinePunct w:val="0"/>
              <w:autoSpaceDE/>
              <w:autoSpaceDN/>
              <w:bidi w:val="0"/>
              <w:adjustRightInd/>
              <w:snapToGrid/>
              <w:spacing w:after="0" w:line="400" w:lineRule="atLeast"/>
              <w:jc w:val="center"/>
              <w:rPr>
                <w:rFonts w:hint="eastAsia" w:asciiTheme="majorEastAsia" w:hAnsiTheme="majorEastAsia" w:eastAsiaTheme="majorEastAsia" w:cstheme="majorEastAsia"/>
                <w:b/>
                <w:bCs/>
                <w:kern w:val="0"/>
                <w:szCs w:val="22"/>
                <w14:ligatures w14:val="none"/>
              </w:rPr>
            </w:pPr>
            <w:r>
              <w:rPr>
                <w:rFonts w:hint="eastAsia" w:asciiTheme="majorEastAsia" w:hAnsiTheme="majorEastAsia" w:eastAsiaTheme="majorEastAsia" w:cstheme="majorEastAsia"/>
                <w:b/>
                <w:bCs/>
                <w:kern w:val="0"/>
                <w:szCs w:val="22"/>
                <w14:ligatures w14:val="none"/>
              </w:rPr>
              <w:t>课程时间</w:t>
            </w:r>
          </w:p>
        </w:tc>
        <w:tc>
          <w:tcPr>
            <w:tcW w:w="1702" w:type="dxa"/>
            <w:shd w:val="clear" w:color="auto" w:fill="DAE3F4" w:themeFill="accent1" w:themeFillTint="33"/>
            <w:vAlign w:val="center"/>
          </w:tcPr>
          <w:p w14:paraId="178FEAF3">
            <w:pPr>
              <w:keepNext w:val="0"/>
              <w:keepLines w:val="0"/>
              <w:pageBreakBefore w:val="0"/>
              <w:kinsoku/>
              <w:wordWrap/>
              <w:overflowPunct/>
              <w:topLinePunct w:val="0"/>
              <w:autoSpaceDE/>
              <w:autoSpaceDN/>
              <w:bidi w:val="0"/>
              <w:adjustRightInd/>
              <w:snapToGrid/>
              <w:spacing w:after="0" w:line="400" w:lineRule="atLeast"/>
              <w:jc w:val="center"/>
              <w:rPr>
                <w:rFonts w:hint="eastAsia" w:asciiTheme="majorEastAsia" w:hAnsiTheme="majorEastAsia" w:eastAsiaTheme="majorEastAsia" w:cstheme="majorEastAsia"/>
                <w:b/>
                <w:bCs/>
                <w:kern w:val="0"/>
                <w:szCs w:val="22"/>
                <w14:ligatures w14:val="none"/>
              </w:rPr>
            </w:pPr>
            <w:r>
              <w:rPr>
                <w:rFonts w:hint="eastAsia" w:asciiTheme="majorEastAsia" w:hAnsiTheme="majorEastAsia" w:eastAsiaTheme="majorEastAsia" w:cstheme="majorEastAsia"/>
                <w:b/>
                <w:bCs/>
                <w:kern w:val="0"/>
                <w:szCs w:val="22"/>
                <w14:ligatures w14:val="none"/>
              </w:rPr>
              <w:t>价格</w:t>
            </w:r>
          </w:p>
        </w:tc>
      </w:tr>
      <w:tr w14:paraId="61B3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68" w:type="dxa"/>
            <w:vMerge w:val="restart"/>
            <w:shd w:val="clear" w:color="auto" w:fill="CCE8CF" w:themeFill="background1"/>
            <w:vAlign w:val="center"/>
          </w:tcPr>
          <w:p w14:paraId="506F7523">
            <w:pPr>
              <w:keepNext w:val="0"/>
              <w:keepLines w:val="0"/>
              <w:pageBreakBefore w:val="0"/>
              <w:kinsoku/>
              <w:wordWrap/>
              <w:overflowPunct/>
              <w:topLinePunct w:val="0"/>
              <w:autoSpaceDE/>
              <w:autoSpaceDN/>
              <w:bidi w:val="0"/>
              <w:adjustRightInd/>
              <w:snapToGrid/>
              <w:spacing w:line="400" w:lineRule="atLeast"/>
              <w:jc w:val="center"/>
              <w:textAlignment w:val="center"/>
              <w:rPr>
                <w:rFonts w:hint="eastAsia" w:asciiTheme="minorEastAsia" w:hAnsiTheme="minorEastAsia" w:cstheme="majorEastAsia"/>
                <w:kern w:val="0"/>
                <w:sz w:val="18"/>
                <w:szCs w:val="18"/>
                <w14:ligatures w14:val="none"/>
              </w:rPr>
            </w:pPr>
            <w:bookmarkStart w:id="0" w:name="OLE_LINK6"/>
            <w:r>
              <w:rPr>
                <w:rFonts w:hint="eastAsia" w:asciiTheme="minorEastAsia" w:hAnsiTheme="minorEastAsia" w:cstheme="majorEastAsia"/>
                <w:kern w:val="0"/>
                <w:sz w:val="18"/>
                <w:szCs w:val="18"/>
                <w14:ligatures w14:val="none"/>
              </w:rPr>
              <w:t>联合国训练研究所</w:t>
            </w:r>
          </w:p>
        </w:tc>
        <w:tc>
          <w:tcPr>
            <w:tcW w:w="2693" w:type="dxa"/>
            <w:shd w:val="clear" w:color="auto" w:fill="CCE8CF" w:themeFill="background1"/>
            <w:vAlign w:val="center"/>
          </w:tcPr>
          <w:p w14:paraId="1F753B85">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sz w:val="18"/>
                <w:szCs w:val="18"/>
              </w:rPr>
            </w:pPr>
            <w:r>
              <w:rPr>
                <w:rFonts w:hint="eastAsia" w:asciiTheme="minorEastAsia" w:hAnsiTheme="minorEastAsia"/>
                <w:sz w:val="18"/>
                <w:szCs w:val="18"/>
              </w:rPr>
              <w:t>商业与人文</w:t>
            </w:r>
          </w:p>
          <w:p w14:paraId="5EEDAA1D">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cstheme="majorEastAsia"/>
                <w:kern w:val="0"/>
                <w:sz w:val="18"/>
                <w:szCs w:val="18"/>
                <w14:ligatures w14:val="none"/>
              </w:rPr>
            </w:pPr>
            <w:r>
              <w:rPr>
                <w:rFonts w:hint="eastAsia" w:asciiTheme="minorEastAsia" w:hAnsiTheme="minorEastAsia"/>
                <w:sz w:val="18"/>
                <w:szCs w:val="18"/>
              </w:rPr>
              <w:t>（瑞士日内瓦、法国巴黎）</w:t>
            </w:r>
          </w:p>
        </w:tc>
        <w:tc>
          <w:tcPr>
            <w:tcW w:w="2410" w:type="dxa"/>
            <w:shd w:val="clear" w:color="auto" w:fill="CCE8CF" w:themeFill="background1"/>
            <w:vAlign w:val="center"/>
          </w:tcPr>
          <w:p w14:paraId="77B49A22">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sz w:val="18"/>
                <w:szCs w:val="18"/>
              </w:rPr>
            </w:pPr>
            <w:bookmarkStart w:id="1" w:name="OLE_LINK1"/>
            <w:r>
              <w:rPr>
                <w:rFonts w:hint="eastAsia" w:asciiTheme="minorEastAsia" w:hAnsiTheme="minorEastAsia"/>
                <w:sz w:val="18"/>
                <w:szCs w:val="18"/>
              </w:rPr>
              <w:t>07</w:t>
            </w:r>
            <w:r>
              <w:rPr>
                <w:rFonts w:asciiTheme="minorEastAsia" w:hAnsiTheme="minorEastAsia"/>
                <w:sz w:val="18"/>
                <w:szCs w:val="18"/>
              </w:rPr>
              <w:t>.1</w:t>
            </w:r>
            <w:r>
              <w:rPr>
                <w:rFonts w:hint="eastAsia" w:asciiTheme="minorEastAsia" w:hAnsiTheme="minorEastAsia"/>
                <w:sz w:val="18"/>
                <w:szCs w:val="18"/>
              </w:rPr>
              <w:t>9</w:t>
            </w:r>
            <w:r>
              <w:rPr>
                <w:rFonts w:asciiTheme="minorEastAsia" w:hAnsiTheme="minorEastAsia"/>
                <w:sz w:val="18"/>
                <w:szCs w:val="18"/>
              </w:rPr>
              <w:t>-0</w:t>
            </w:r>
            <w:r>
              <w:rPr>
                <w:rFonts w:hint="eastAsia" w:asciiTheme="minorEastAsia" w:hAnsiTheme="minorEastAsia"/>
                <w:sz w:val="18"/>
                <w:szCs w:val="18"/>
              </w:rPr>
              <w:t>8</w:t>
            </w:r>
            <w:r>
              <w:rPr>
                <w:rFonts w:asciiTheme="minorEastAsia" w:hAnsiTheme="minorEastAsia"/>
                <w:sz w:val="18"/>
                <w:szCs w:val="18"/>
              </w:rPr>
              <w:t>.</w:t>
            </w:r>
            <w:r>
              <w:rPr>
                <w:rFonts w:hint="eastAsia" w:asciiTheme="minorEastAsia" w:hAnsiTheme="minorEastAsia"/>
                <w:sz w:val="18"/>
                <w:szCs w:val="18"/>
              </w:rPr>
              <w:t>01</w:t>
            </w:r>
          </w:p>
          <w:p w14:paraId="5EA3F1AD">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cstheme="majorEastAsia"/>
                <w:kern w:val="0"/>
                <w:sz w:val="18"/>
                <w:szCs w:val="18"/>
                <w14:ligatures w14:val="none"/>
              </w:rPr>
            </w:pPr>
            <w:r>
              <w:rPr>
                <w:rFonts w:hint="eastAsia" w:asciiTheme="minorEastAsia" w:hAnsiTheme="minorEastAsia"/>
                <w:sz w:val="18"/>
                <w:szCs w:val="18"/>
              </w:rPr>
              <w:t>（14天）</w:t>
            </w:r>
            <w:bookmarkEnd w:id="1"/>
          </w:p>
        </w:tc>
        <w:tc>
          <w:tcPr>
            <w:tcW w:w="1702" w:type="dxa"/>
            <w:vMerge w:val="restart"/>
            <w:shd w:val="clear" w:color="auto" w:fill="CCE8CF" w:themeFill="background1"/>
            <w:vAlign w:val="center"/>
          </w:tcPr>
          <w:p w14:paraId="527B5D34">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cstheme="majorEastAsia"/>
                <w:color w:val="000000"/>
                <w:kern w:val="0"/>
                <w:sz w:val="18"/>
                <w:szCs w:val="18"/>
                <w:lang w:bidi="ar"/>
              </w:rPr>
            </w:pPr>
            <w:r>
              <w:rPr>
                <w:rFonts w:hint="eastAsia" w:asciiTheme="minorEastAsia" w:hAnsiTheme="minorEastAsia" w:cstheme="majorEastAsia"/>
                <w:color w:val="000000"/>
                <w:kern w:val="0"/>
                <w:sz w:val="18"/>
                <w:szCs w:val="18"/>
                <w:lang w:bidi="ar"/>
              </w:rPr>
              <w:t>34800元</w:t>
            </w:r>
          </w:p>
        </w:tc>
      </w:tr>
      <w:tr w14:paraId="195C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68" w:type="dxa"/>
            <w:vMerge w:val="continue"/>
            <w:shd w:val="clear" w:color="auto" w:fill="CCE8CF" w:themeFill="background1"/>
            <w:vAlign w:val="center"/>
          </w:tcPr>
          <w:p w14:paraId="62B9883F">
            <w:pPr>
              <w:keepNext w:val="0"/>
              <w:keepLines w:val="0"/>
              <w:pageBreakBefore w:val="0"/>
              <w:kinsoku/>
              <w:wordWrap/>
              <w:overflowPunct/>
              <w:topLinePunct w:val="0"/>
              <w:autoSpaceDE/>
              <w:autoSpaceDN/>
              <w:bidi w:val="0"/>
              <w:adjustRightInd/>
              <w:snapToGrid/>
              <w:spacing w:line="400" w:lineRule="atLeast"/>
              <w:jc w:val="center"/>
              <w:textAlignment w:val="center"/>
              <w:rPr>
                <w:rFonts w:hint="eastAsia" w:asciiTheme="minorEastAsia" w:hAnsiTheme="minorEastAsia" w:cstheme="majorEastAsia"/>
                <w:kern w:val="0"/>
                <w:sz w:val="18"/>
                <w:szCs w:val="18"/>
                <w14:ligatures w14:val="none"/>
              </w:rPr>
            </w:pPr>
          </w:p>
        </w:tc>
        <w:tc>
          <w:tcPr>
            <w:tcW w:w="2693" w:type="dxa"/>
            <w:shd w:val="clear" w:color="auto" w:fill="CCE8CF" w:themeFill="background1"/>
            <w:vAlign w:val="center"/>
          </w:tcPr>
          <w:p w14:paraId="448E940D">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sz w:val="18"/>
                <w:szCs w:val="18"/>
              </w:rPr>
            </w:pPr>
            <w:r>
              <w:rPr>
                <w:rFonts w:hint="eastAsia" w:asciiTheme="minorEastAsia" w:hAnsiTheme="minorEastAsia"/>
                <w:sz w:val="18"/>
                <w:szCs w:val="18"/>
              </w:rPr>
              <w:t>工程及未来技术</w:t>
            </w:r>
          </w:p>
          <w:p w14:paraId="02ACD725">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sz w:val="18"/>
                <w:szCs w:val="18"/>
              </w:rPr>
            </w:pPr>
            <w:r>
              <w:rPr>
                <w:rFonts w:hint="eastAsia" w:asciiTheme="minorEastAsia" w:hAnsiTheme="minorEastAsia"/>
                <w:sz w:val="18"/>
                <w:szCs w:val="18"/>
              </w:rPr>
              <w:t>（瑞士日内外、德国波恩）</w:t>
            </w:r>
          </w:p>
        </w:tc>
        <w:tc>
          <w:tcPr>
            <w:tcW w:w="2410" w:type="dxa"/>
            <w:shd w:val="clear" w:color="auto" w:fill="CCE8CF" w:themeFill="background1"/>
            <w:vAlign w:val="center"/>
          </w:tcPr>
          <w:p w14:paraId="1CED1951">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sz w:val="18"/>
                <w:szCs w:val="18"/>
              </w:rPr>
            </w:pPr>
            <w:r>
              <w:rPr>
                <w:rFonts w:hint="eastAsia" w:asciiTheme="minorEastAsia" w:hAnsiTheme="minorEastAsia"/>
                <w:sz w:val="18"/>
                <w:szCs w:val="18"/>
              </w:rPr>
              <w:t>07</w:t>
            </w:r>
            <w:r>
              <w:rPr>
                <w:rFonts w:asciiTheme="minorEastAsia" w:hAnsiTheme="minorEastAsia"/>
                <w:sz w:val="18"/>
                <w:szCs w:val="18"/>
              </w:rPr>
              <w:t>.</w:t>
            </w:r>
            <w:r>
              <w:rPr>
                <w:rFonts w:hint="eastAsia" w:asciiTheme="minorEastAsia" w:hAnsiTheme="minorEastAsia"/>
                <w:sz w:val="18"/>
                <w:szCs w:val="18"/>
              </w:rPr>
              <w:t>26</w:t>
            </w:r>
            <w:r>
              <w:rPr>
                <w:rFonts w:asciiTheme="minorEastAsia" w:hAnsiTheme="minorEastAsia"/>
                <w:sz w:val="18"/>
                <w:szCs w:val="18"/>
              </w:rPr>
              <w:t>-0</w:t>
            </w:r>
            <w:r>
              <w:rPr>
                <w:rFonts w:hint="eastAsia" w:asciiTheme="minorEastAsia" w:hAnsiTheme="minorEastAsia"/>
                <w:sz w:val="18"/>
                <w:szCs w:val="18"/>
              </w:rPr>
              <w:t>8</w:t>
            </w:r>
            <w:r>
              <w:rPr>
                <w:rFonts w:asciiTheme="minorEastAsia" w:hAnsiTheme="minorEastAsia"/>
                <w:sz w:val="18"/>
                <w:szCs w:val="18"/>
              </w:rPr>
              <w:t>.</w:t>
            </w:r>
            <w:r>
              <w:rPr>
                <w:rFonts w:hint="eastAsia" w:asciiTheme="minorEastAsia" w:hAnsiTheme="minorEastAsia"/>
                <w:sz w:val="18"/>
                <w:szCs w:val="18"/>
              </w:rPr>
              <w:t>08</w:t>
            </w:r>
          </w:p>
          <w:p w14:paraId="3BC65C64">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sz w:val="18"/>
                <w:szCs w:val="18"/>
              </w:rPr>
            </w:pPr>
            <w:r>
              <w:rPr>
                <w:rFonts w:hint="eastAsia" w:asciiTheme="minorEastAsia" w:hAnsiTheme="minorEastAsia"/>
                <w:sz w:val="18"/>
                <w:szCs w:val="18"/>
              </w:rPr>
              <w:t>（14天）</w:t>
            </w:r>
          </w:p>
        </w:tc>
        <w:tc>
          <w:tcPr>
            <w:tcW w:w="1702" w:type="dxa"/>
            <w:vMerge w:val="continue"/>
            <w:shd w:val="clear" w:color="auto" w:fill="CCE8CF" w:themeFill="background1"/>
            <w:vAlign w:val="center"/>
          </w:tcPr>
          <w:p w14:paraId="43D339C7">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cstheme="majorEastAsia"/>
                <w:color w:val="000000"/>
                <w:kern w:val="0"/>
                <w:sz w:val="18"/>
                <w:szCs w:val="18"/>
                <w:lang w:bidi="ar"/>
              </w:rPr>
            </w:pPr>
          </w:p>
        </w:tc>
      </w:tr>
      <w:tr w14:paraId="563F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68" w:type="dxa"/>
            <w:vMerge w:val="continue"/>
            <w:shd w:val="clear" w:color="auto" w:fill="CCE8CF" w:themeFill="background1"/>
            <w:vAlign w:val="center"/>
          </w:tcPr>
          <w:p w14:paraId="0AEF131E">
            <w:pPr>
              <w:keepNext w:val="0"/>
              <w:keepLines w:val="0"/>
              <w:pageBreakBefore w:val="0"/>
              <w:kinsoku/>
              <w:wordWrap/>
              <w:overflowPunct/>
              <w:topLinePunct w:val="0"/>
              <w:autoSpaceDE/>
              <w:autoSpaceDN/>
              <w:bidi w:val="0"/>
              <w:adjustRightInd/>
              <w:snapToGrid/>
              <w:spacing w:line="400" w:lineRule="atLeast"/>
              <w:jc w:val="center"/>
              <w:textAlignment w:val="center"/>
              <w:rPr>
                <w:rFonts w:hint="eastAsia" w:asciiTheme="minorEastAsia" w:hAnsiTheme="minorEastAsia" w:cstheme="majorEastAsia"/>
                <w:kern w:val="0"/>
                <w:sz w:val="18"/>
                <w:szCs w:val="18"/>
                <w14:ligatures w14:val="none"/>
              </w:rPr>
            </w:pPr>
          </w:p>
        </w:tc>
        <w:tc>
          <w:tcPr>
            <w:tcW w:w="2693" w:type="dxa"/>
            <w:shd w:val="clear" w:color="auto" w:fill="CCE8CF" w:themeFill="background1"/>
            <w:vAlign w:val="center"/>
          </w:tcPr>
          <w:p w14:paraId="2289A471">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sz w:val="18"/>
                <w:szCs w:val="18"/>
              </w:rPr>
            </w:pPr>
            <w:r>
              <w:rPr>
                <w:rFonts w:hint="eastAsia" w:asciiTheme="minorEastAsia" w:hAnsiTheme="minorEastAsia"/>
                <w:sz w:val="18"/>
                <w:szCs w:val="18"/>
              </w:rPr>
              <w:t>国际法与公共管理</w:t>
            </w:r>
          </w:p>
          <w:p w14:paraId="10BD2810">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sz w:val="18"/>
                <w:szCs w:val="18"/>
              </w:rPr>
            </w:pPr>
            <w:r>
              <w:rPr>
                <w:rFonts w:hint="eastAsia" w:asciiTheme="minorEastAsia" w:hAnsiTheme="minorEastAsia"/>
                <w:sz w:val="18"/>
                <w:szCs w:val="18"/>
              </w:rPr>
              <w:t>（瑞士日内瓦、荷兰海牙）</w:t>
            </w:r>
          </w:p>
        </w:tc>
        <w:tc>
          <w:tcPr>
            <w:tcW w:w="2410" w:type="dxa"/>
            <w:shd w:val="clear" w:color="auto" w:fill="CCE8CF" w:themeFill="background1"/>
            <w:vAlign w:val="center"/>
          </w:tcPr>
          <w:p w14:paraId="7FAC98D4">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sz w:val="18"/>
                <w:szCs w:val="18"/>
              </w:rPr>
            </w:pPr>
            <w:r>
              <w:rPr>
                <w:rFonts w:hint="eastAsia" w:asciiTheme="minorEastAsia" w:hAnsiTheme="minorEastAsia"/>
                <w:sz w:val="18"/>
                <w:szCs w:val="18"/>
              </w:rPr>
              <w:t>08</w:t>
            </w:r>
            <w:r>
              <w:rPr>
                <w:rFonts w:asciiTheme="minorEastAsia" w:hAnsiTheme="minorEastAsia"/>
                <w:sz w:val="18"/>
                <w:szCs w:val="18"/>
              </w:rPr>
              <w:t>.</w:t>
            </w:r>
            <w:r>
              <w:rPr>
                <w:rFonts w:hint="eastAsia" w:asciiTheme="minorEastAsia" w:hAnsiTheme="minorEastAsia"/>
                <w:sz w:val="18"/>
                <w:szCs w:val="18"/>
              </w:rPr>
              <w:t>02</w:t>
            </w:r>
            <w:r>
              <w:rPr>
                <w:rFonts w:asciiTheme="minorEastAsia" w:hAnsiTheme="minorEastAsia"/>
                <w:sz w:val="18"/>
                <w:szCs w:val="18"/>
              </w:rPr>
              <w:t>-0</w:t>
            </w:r>
            <w:r>
              <w:rPr>
                <w:rFonts w:hint="eastAsia" w:asciiTheme="minorEastAsia" w:hAnsiTheme="minorEastAsia"/>
                <w:sz w:val="18"/>
                <w:szCs w:val="18"/>
              </w:rPr>
              <w:t>8</w:t>
            </w:r>
            <w:r>
              <w:rPr>
                <w:rFonts w:asciiTheme="minorEastAsia" w:hAnsiTheme="minorEastAsia"/>
                <w:sz w:val="18"/>
                <w:szCs w:val="18"/>
              </w:rPr>
              <w:t>.</w:t>
            </w:r>
            <w:r>
              <w:rPr>
                <w:rFonts w:hint="eastAsia" w:asciiTheme="minorEastAsia" w:hAnsiTheme="minorEastAsia"/>
                <w:sz w:val="18"/>
                <w:szCs w:val="18"/>
              </w:rPr>
              <w:t>15</w:t>
            </w:r>
          </w:p>
          <w:p w14:paraId="43B6B033">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sz w:val="18"/>
                <w:szCs w:val="18"/>
              </w:rPr>
            </w:pPr>
            <w:r>
              <w:rPr>
                <w:rFonts w:hint="eastAsia" w:asciiTheme="minorEastAsia" w:hAnsiTheme="minorEastAsia"/>
                <w:sz w:val="18"/>
                <w:szCs w:val="18"/>
              </w:rPr>
              <w:t>（14天）</w:t>
            </w:r>
          </w:p>
        </w:tc>
        <w:tc>
          <w:tcPr>
            <w:tcW w:w="1702" w:type="dxa"/>
            <w:vMerge w:val="continue"/>
            <w:shd w:val="clear" w:color="auto" w:fill="CCE8CF" w:themeFill="background1"/>
            <w:vAlign w:val="center"/>
          </w:tcPr>
          <w:p w14:paraId="52926BD1">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Theme="minorEastAsia" w:hAnsiTheme="minorEastAsia" w:cstheme="majorEastAsia"/>
                <w:color w:val="000000"/>
                <w:kern w:val="0"/>
                <w:sz w:val="18"/>
                <w:szCs w:val="18"/>
                <w:lang w:bidi="ar"/>
              </w:rPr>
            </w:pPr>
          </w:p>
        </w:tc>
      </w:tr>
      <w:bookmarkEnd w:id="0"/>
    </w:tbl>
    <w:p w14:paraId="6086D7AB">
      <w:pPr>
        <w:keepNext w:val="0"/>
        <w:keepLines w:val="0"/>
        <w:pageBreakBefore w:val="0"/>
        <w:widowControl w:val="0"/>
        <w:kinsoku/>
        <w:wordWrap/>
        <w:overflowPunct/>
        <w:topLinePunct w:val="0"/>
        <w:autoSpaceDE/>
        <w:autoSpaceDN/>
        <w:bidi w:val="0"/>
        <w:adjustRightInd/>
        <w:snapToGrid/>
        <w:spacing w:after="0" w:line="400" w:lineRule="atLeast"/>
        <w:textAlignment w:val="auto"/>
        <w:rPr>
          <w:sz w:val="21"/>
          <w:szCs w:val="22"/>
        </w:rPr>
      </w:pPr>
      <w:r>
        <w:rPr>
          <w:sz w:val="21"/>
          <w:szCs w:val="22"/>
        </w:rPr>
        <w:t>*以上项目详情（日程安排、项目费用、住宿、后勤安排等）请见项目附件简章。</w:t>
      </w:r>
    </w:p>
    <w:p w14:paraId="2E64DA1F">
      <w:pPr>
        <w:keepNext w:val="0"/>
        <w:keepLines w:val="0"/>
        <w:pageBreakBefore w:val="0"/>
        <w:kinsoku/>
        <w:wordWrap/>
        <w:overflowPunct/>
        <w:topLinePunct w:val="0"/>
        <w:autoSpaceDE/>
        <w:autoSpaceDN/>
        <w:bidi w:val="0"/>
        <w:adjustRightInd/>
        <w:snapToGrid/>
        <w:spacing w:after="0" w:line="400" w:lineRule="atLeast"/>
        <w:textAlignment w:val="auto"/>
        <w:rPr>
          <w:sz w:val="21"/>
          <w:szCs w:val="22"/>
        </w:rPr>
      </w:pPr>
    </w:p>
    <w:p w14:paraId="7C618C62">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cs="仿宋"/>
          <w:b/>
          <w:bCs/>
          <w:kern w:val="0"/>
          <w:sz w:val="24"/>
          <w14:ligatures w14:val="none"/>
        </w:rPr>
      </w:pPr>
      <w:r>
        <w:rPr>
          <w:rFonts w:hint="eastAsia" w:ascii="宋体" w:hAnsi="宋体" w:eastAsia="宋体" w:cs="仿宋"/>
          <w:b/>
          <w:bCs/>
          <w:kern w:val="0"/>
          <w:sz w:val="24"/>
          <w14:ligatures w14:val="none"/>
        </w:rPr>
        <w:t>三</w:t>
      </w:r>
      <w:r>
        <w:rPr>
          <w:rFonts w:ascii="宋体" w:hAnsi="宋体" w:eastAsia="宋体" w:cs="仿宋"/>
          <w:b/>
          <w:bCs/>
          <w:kern w:val="0"/>
          <w:sz w:val="24"/>
          <w14:ligatures w14:val="none"/>
        </w:rPr>
        <w:t>、项目模块</w:t>
      </w:r>
    </w:p>
    <w:p w14:paraId="0ACFDC5E">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r>
        <w:rPr>
          <w:b/>
          <w:sz w:val="24"/>
        </w:rPr>
        <w:t>学术课程：</w:t>
      </w:r>
      <w:r>
        <w:rPr>
          <w:rFonts w:hint="eastAsia"/>
          <w:bCs/>
          <w:sz w:val="24"/>
        </w:rPr>
        <w:t>结合联合国国际组织的特殊优势，在联合国组织内，为学员提供专业的实训课程。由联合国知名外交官及联合国大学学者执教，有各种不同主题的国际组织精选项目，部分讲座更是请到了在联合国任职超过四十年的中国外交官来讲解与交流。</w:t>
      </w:r>
    </w:p>
    <w:p w14:paraId="31694CAF">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r>
        <w:rPr>
          <w:rFonts w:hint="eastAsia"/>
          <w:b/>
          <w:sz w:val="24"/>
        </w:rPr>
        <w:t>国际组织参访</w:t>
      </w:r>
      <w:r>
        <w:rPr>
          <w:b/>
          <w:sz w:val="24"/>
        </w:rPr>
        <w:t>：</w:t>
      </w:r>
      <w:r>
        <w:rPr>
          <w:rFonts w:hint="eastAsia"/>
          <w:sz w:val="24"/>
        </w:rPr>
        <w:t>项目期间，学员将会有机会走进各个国际组织的办公地点，深入了解该国际组织创办的历史与如今在国际社会承担的重任，培养青年人的国际视野和社会责任感，为个人未来发展提供新的思考。（详见简章）</w:t>
      </w:r>
    </w:p>
    <w:p w14:paraId="2FAFAAD8">
      <w:pPr>
        <w:keepNext w:val="0"/>
        <w:keepLines w:val="0"/>
        <w:pageBreakBefore w:val="0"/>
        <w:widowControl w:val="0"/>
        <w:kinsoku/>
        <w:wordWrap/>
        <w:overflowPunct/>
        <w:topLinePunct w:val="0"/>
        <w:autoSpaceDE/>
        <w:autoSpaceDN/>
        <w:bidi w:val="0"/>
        <w:adjustRightInd/>
        <w:snapToGrid/>
        <w:spacing w:after="0" w:line="400" w:lineRule="exact"/>
        <w:textAlignment w:val="auto"/>
        <w:rPr>
          <w:sz w:val="24"/>
        </w:rPr>
      </w:pPr>
      <w:r>
        <w:rPr>
          <w:b/>
          <w:sz w:val="24"/>
        </w:rPr>
        <w:t>人文</w:t>
      </w:r>
      <w:r>
        <w:rPr>
          <w:rFonts w:hint="eastAsia"/>
          <w:b/>
          <w:sz w:val="24"/>
        </w:rPr>
        <w:t>交流</w:t>
      </w:r>
      <w:r>
        <w:rPr>
          <w:b/>
          <w:sz w:val="24"/>
        </w:rPr>
        <w:t>：</w:t>
      </w:r>
      <w:r>
        <w:rPr>
          <w:rFonts w:hint="eastAsia"/>
          <w:sz w:val="24"/>
        </w:rPr>
        <w:t>课余时间项目还安排了对项目涉及的城市人文考察，包括</w:t>
      </w:r>
      <w:r>
        <w:rPr>
          <w:rFonts w:hint="eastAsia"/>
          <w:b/>
          <w:sz w:val="24"/>
        </w:rPr>
        <w:t>日内瓦万国宫，海牙国际刑事法院</w:t>
      </w:r>
      <w:r>
        <w:rPr>
          <w:rFonts w:hint="eastAsia"/>
          <w:sz w:val="24"/>
        </w:rPr>
        <w:t>，</w:t>
      </w:r>
      <w:r>
        <w:rPr>
          <w:rFonts w:hint="eastAsia"/>
          <w:b/>
          <w:bCs/>
          <w:sz w:val="24"/>
        </w:rPr>
        <w:t>巴黎卢浮宫等</w:t>
      </w:r>
      <w:r>
        <w:rPr>
          <w:rFonts w:hint="eastAsia"/>
          <w:sz w:val="24"/>
        </w:rPr>
        <w:t>，帮助学生了解新加坡的历史发展与风土人情。</w:t>
      </w:r>
    </w:p>
    <w:p w14:paraId="5A18B2D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sz w:val="24"/>
        </w:rPr>
      </w:pPr>
      <w:r>
        <w:rPr>
          <w:b/>
          <w:sz w:val="24"/>
        </w:rPr>
        <w:t>结业</w:t>
      </w:r>
      <w:r>
        <w:rPr>
          <w:rFonts w:hint="eastAsia"/>
          <w:b/>
          <w:sz w:val="24"/>
        </w:rPr>
        <w:t>比赛</w:t>
      </w:r>
      <w:r>
        <w:rPr>
          <w:b/>
          <w:sz w:val="24"/>
        </w:rPr>
        <w:t>：</w:t>
      </w:r>
      <w:r>
        <w:rPr>
          <w:rFonts w:hint="eastAsia"/>
          <w:sz w:val="24"/>
        </w:rPr>
        <w:t>在结业的最终日上，每位学员将获得自己的项目证书和成绩评估报告，为在联合国度过的愉快时光划上圆满的句号。</w:t>
      </w:r>
    </w:p>
    <w:p w14:paraId="37CABD0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sz w:val="24"/>
        </w:rPr>
      </w:pPr>
    </w:p>
    <w:p w14:paraId="26954DC6">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cs="仿宋"/>
          <w:b/>
          <w:bCs/>
          <w:kern w:val="0"/>
          <w:sz w:val="24"/>
          <w14:ligatures w14:val="none"/>
        </w:rPr>
      </w:pPr>
      <w:r>
        <w:rPr>
          <w:rFonts w:hint="eastAsia" w:ascii="宋体" w:hAnsi="宋体" w:eastAsia="宋体" w:cs="仿宋"/>
          <w:b/>
          <w:bCs/>
          <w:kern w:val="0"/>
          <w:sz w:val="24"/>
          <w14:ligatures w14:val="none"/>
        </w:rPr>
        <w:t>四</w:t>
      </w:r>
      <w:r>
        <w:rPr>
          <w:rFonts w:ascii="宋体" w:hAnsi="宋体" w:eastAsia="宋体" w:cs="仿宋"/>
          <w:b/>
          <w:bCs/>
          <w:kern w:val="0"/>
          <w:sz w:val="24"/>
          <w14:ligatures w14:val="none"/>
        </w:rPr>
        <w:t>、项目收获</w:t>
      </w:r>
    </w:p>
    <w:p w14:paraId="2343DCD7">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hAnsi="微软雅黑"/>
          <w:sz w:val="24"/>
        </w:rPr>
      </w:pPr>
      <w:bookmarkStart w:id="2" w:name="OLE_LINK5"/>
      <w:r>
        <w:rPr>
          <w:rFonts w:hint="eastAsia"/>
          <w:bCs/>
          <w:sz w:val="24"/>
          <w:lang w:val="en-US" w:eastAsia="zh-CN"/>
        </w:rPr>
        <w:t>每位</w:t>
      </w:r>
      <w:r>
        <w:rPr>
          <w:rFonts w:hint="eastAsia"/>
          <w:bCs/>
          <w:sz w:val="24"/>
        </w:rPr>
        <w:t>学员将获得自己的项目证书</w:t>
      </w:r>
      <w:bookmarkEnd w:id="2"/>
      <w:r>
        <w:rPr>
          <w:rFonts w:hint="eastAsia"/>
          <w:bCs/>
          <w:sz w:val="24"/>
        </w:rPr>
        <w:t>和成绩评估报告，在结业比赛中取得【最佳小组】的认证的学员，全组成员还将获得由联合国主办部门颁发的最佳小组推荐信。即使遗憾地与最佳小组失之交臂，仍有机会凭借在项目中的优异表现成为</w:t>
      </w:r>
      <w:r>
        <w:rPr>
          <w:rFonts w:hint="eastAsia"/>
          <w:b/>
          <w:sz w:val="24"/>
        </w:rPr>
        <w:t>【最佳个人】</w:t>
      </w:r>
      <w:r>
        <w:rPr>
          <w:rFonts w:hint="eastAsia"/>
          <w:bCs/>
          <w:sz w:val="24"/>
        </w:rPr>
        <w:t>。</w:t>
      </w:r>
      <w:r>
        <w:rPr>
          <w:rFonts w:hint="eastAsia" w:hAnsi="微软雅黑"/>
          <w:sz w:val="24"/>
        </w:rPr>
        <w:t>表现尤其优异的同学，还能争取到</w:t>
      </w:r>
      <w:r>
        <w:rPr>
          <w:rFonts w:hint="eastAsia" w:hAnsi="微软雅黑"/>
          <w:b/>
          <w:bCs/>
          <w:sz w:val="24"/>
        </w:rPr>
        <w:t>联合国实习</w:t>
      </w:r>
      <w:r>
        <w:rPr>
          <w:rFonts w:hint="eastAsia" w:hAnsi="微软雅黑"/>
          <w:sz w:val="24"/>
        </w:rPr>
        <w:t>的机会。</w:t>
      </w:r>
    </w:p>
    <w:p w14:paraId="4FE2A373">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hAnsi="微软雅黑"/>
          <w:sz w:val="24"/>
        </w:rPr>
      </w:pPr>
    </w:p>
    <w:p w14:paraId="28BD47D7">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cs="仿宋" w:asciiTheme="minorEastAsia" w:hAnsiTheme="minorEastAsia"/>
          <w:b/>
          <w:bCs/>
          <w:kern w:val="0"/>
          <w:sz w:val="24"/>
          <w14:ligatures w14:val="none"/>
        </w:rPr>
      </w:pPr>
      <w:r>
        <w:rPr>
          <w:rFonts w:hint="eastAsia" w:cs="仿宋" w:asciiTheme="minorEastAsia" w:hAnsiTheme="minorEastAsia"/>
          <w:b/>
          <w:bCs/>
          <w:kern w:val="0"/>
          <w:sz w:val="24"/>
          <w14:ligatures w14:val="none"/>
        </w:rPr>
        <w:t>五</w:t>
      </w:r>
      <w:r>
        <w:rPr>
          <w:rFonts w:cs="仿宋" w:asciiTheme="minorEastAsia" w:hAnsiTheme="minorEastAsia"/>
          <w:b/>
          <w:bCs/>
          <w:kern w:val="0"/>
          <w:sz w:val="24"/>
          <w14:ligatures w14:val="none"/>
        </w:rPr>
        <w:t>、申请资格与条件</w:t>
      </w:r>
    </w:p>
    <w:p w14:paraId="4FAD19A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1.申请人目前应为我校在读的本科学生，年级不限，专业不限。</w:t>
      </w:r>
    </w:p>
    <w:p w14:paraId="3EBF2FE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2.政治素质好，坚持四项基本原则，热爱社会主义祖国，无违法违纪记录。</w:t>
      </w:r>
    </w:p>
    <w:p w14:paraId="479DAF3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3.学习成绩优异，具有较强的、扎实的专业理论基础和实践能力。</w:t>
      </w:r>
    </w:p>
    <w:p w14:paraId="0758E72C">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4.具有较强的英语听说读写能力。</w:t>
      </w:r>
    </w:p>
    <w:p w14:paraId="78A929F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5.身心健康，能圆满完成出国访问与学习任务。</w:t>
      </w:r>
    </w:p>
    <w:p w14:paraId="7C6FD9CB">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lang w:eastAsia="zh-CN"/>
        </w:rPr>
      </w:pPr>
      <w:r>
        <w:rPr>
          <w:rFonts w:hint="eastAsia" w:cs="宋体" w:asciiTheme="minorEastAsia" w:hAnsiTheme="minorEastAsia"/>
          <w:kern w:val="0"/>
          <w:sz w:val="24"/>
        </w:rPr>
        <w:t>6.已交足我校规定的各项费用，具有一定的经济能力</w:t>
      </w:r>
      <w:r>
        <w:rPr>
          <w:rFonts w:hint="eastAsia" w:cs="宋体" w:asciiTheme="minorEastAsia" w:hAnsiTheme="minorEastAsia"/>
          <w:kern w:val="0"/>
          <w:sz w:val="24"/>
          <w:lang w:eastAsia="zh-CN"/>
        </w:rPr>
        <w:t>。</w:t>
      </w:r>
    </w:p>
    <w:p w14:paraId="10D6B0EB">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lang w:eastAsia="zh-CN"/>
        </w:rPr>
      </w:pPr>
    </w:p>
    <w:p w14:paraId="67896E9C">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cs="仿宋" w:asciiTheme="minorEastAsia" w:hAnsiTheme="minorEastAsia"/>
          <w:b/>
          <w:bCs/>
          <w:kern w:val="0"/>
          <w:sz w:val="24"/>
          <w14:ligatures w14:val="none"/>
        </w:rPr>
      </w:pPr>
      <w:r>
        <w:rPr>
          <w:rFonts w:hint="eastAsia" w:cs="仿宋" w:asciiTheme="minorEastAsia" w:hAnsiTheme="minorEastAsia"/>
          <w:b/>
          <w:bCs/>
          <w:kern w:val="0"/>
          <w:sz w:val="24"/>
          <w14:ligatures w14:val="none"/>
        </w:rPr>
        <w:t>六</w:t>
      </w:r>
      <w:r>
        <w:rPr>
          <w:rFonts w:cs="仿宋" w:asciiTheme="minorEastAsia" w:hAnsiTheme="minorEastAsia"/>
          <w:b/>
          <w:bCs/>
          <w:kern w:val="0"/>
          <w:sz w:val="24"/>
          <w14:ligatures w14:val="none"/>
        </w:rPr>
        <w:t>、</w:t>
      </w:r>
      <w:r>
        <w:rPr>
          <w:rFonts w:hint="eastAsia" w:cs="仿宋" w:asciiTheme="minorEastAsia" w:hAnsiTheme="minorEastAsia"/>
          <w:b/>
          <w:bCs/>
          <w:kern w:val="0"/>
          <w:sz w:val="24"/>
          <w14:ligatures w14:val="none"/>
        </w:rPr>
        <w:t>选拔程序</w:t>
      </w:r>
    </w:p>
    <w:p w14:paraId="1E65447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1．采取“个人申请、学院推荐、专家评审、择优录取”的方式进行选拔。</w:t>
      </w:r>
    </w:p>
    <w:p w14:paraId="2DFF80DD">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2．申请人应向所在学院提交以下材料：</w:t>
      </w:r>
    </w:p>
    <w:p w14:paraId="3DFF61A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（1）《南京邮电大学本科生海外访学申请表》（附件2）；</w:t>
      </w:r>
    </w:p>
    <w:p w14:paraId="0951DC1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（2）英语水平证明及复印件；</w:t>
      </w:r>
    </w:p>
    <w:p w14:paraId="247566CD">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（3）学术科研能力证明材料及复印件（包括论文发表、参与竞赛、项目等）；</w:t>
      </w:r>
    </w:p>
    <w:p w14:paraId="46F5976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（4）获奖证书及复印件。</w:t>
      </w:r>
    </w:p>
    <w:p w14:paraId="3195026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asciiTheme="minorEastAsia" w:hAnsiTheme="minorEastAsia"/>
          <w:sz w:val="24"/>
        </w:rPr>
        <w:t>3．申请人申请材料交至各学院，学院根据申请资格与条件对申请人进行筛选、排序并填写《南京邮电大学本科生海外访学申请汇总表》（附件3），于</w:t>
      </w:r>
      <w:r>
        <w:rPr>
          <w:rFonts w:hint="eastAsia" w:asciiTheme="minorEastAsia" w:hAnsiTheme="minorEastAsia"/>
          <w:b/>
          <w:bCs/>
          <w:sz w:val="24"/>
          <w:highlight w:val="yellow"/>
        </w:rPr>
        <w:t>5</w:t>
      </w:r>
      <w:r>
        <w:rPr>
          <w:rFonts w:asciiTheme="minorEastAsia" w:hAnsiTheme="minorEastAsia"/>
          <w:b/>
          <w:bCs/>
          <w:sz w:val="24"/>
          <w:highlight w:val="yellow"/>
        </w:rPr>
        <w:t>月</w:t>
      </w:r>
      <w:r>
        <w:rPr>
          <w:rFonts w:hint="eastAsia" w:asciiTheme="minorEastAsia" w:hAnsiTheme="minorEastAsia"/>
          <w:b/>
          <w:bCs/>
          <w:sz w:val="24"/>
          <w:highlight w:val="yellow"/>
        </w:rPr>
        <w:t>15</w:t>
      </w:r>
      <w:r>
        <w:rPr>
          <w:rFonts w:asciiTheme="minorEastAsia" w:hAnsiTheme="minorEastAsia"/>
          <w:b/>
          <w:bCs/>
          <w:sz w:val="24"/>
          <w:highlight w:val="yellow"/>
        </w:rPr>
        <w:t>日</w:t>
      </w:r>
      <w:r>
        <w:rPr>
          <w:rFonts w:hint="eastAsia" w:asciiTheme="minorEastAsia" w:hAnsiTheme="minorEastAsia"/>
          <w:b/>
          <w:bCs/>
          <w:sz w:val="24"/>
          <w:highlight w:val="yellow"/>
        </w:rPr>
        <w:t>（其中德国项目-工程截止日期为4月20日）</w:t>
      </w:r>
      <w:r>
        <w:rPr>
          <w:rFonts w:asciiTheme="minorEastAsia" w:hAnsiTheme="minorEastAsia"/>
          <w:sz w:val="24"/>
        </w:rPr>
        <w:t>前将候选人申请材料及汇总表交至</w:t>
      </w:r>
      <w:r>
        <w:rPr>
          <w:rFonts w:hint="eastAsia" w:asciiTheme="minorEastAsia" w:hAnsiTheme="minorEastAsia"/>
          <w:sz w:val="24"/>
          <w:lang w:eastAsia="zh-CN"/>
        </w:rPr>
        <w:t>本科生院</w:t>
      </w:r>
      <w:r>
        <w:rPr>
          <w:rFonts w:asciiTheme="minorEastAsia" w:hAnsiTheme="minorEastAsia"/>
          <w:sz w:val="24"/>
        </w:rPr>
        <w:t>，</w:t>
      </w:r>
      <w:r>
        <w:rPr>
          <w:rFonts w:hint="eastAsia" w:cs="宋体" w:asciiTheme="minorEastAsia" w:hAnsiTheme="minorEastAsia"/>
          <w:kern w:val="0"/>
          <w:sz w:val="24"/>
        </w:rPr>
        <w:t>逾期不递交材料的学院作自动放弃处理。</w:t>
      </w:r>
    </w:p>
    <w:p w14:paraId="77AE950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4．</w:t>
      </w:r>
      <w:r>
        <w:rPr>
          <w:rFonts w:hint="eastAsia" w:cs="宋体" w:asciiTheme="minorEastAsia" w:hAnsiTheme="minorEastAsia"/>
          <w:kern w:val="0"/>
          <w:sz w:val="24"/>
          <w:lang w:eastAsia="zh-CN"/>
        </w:rPr>
        <w:t>本科生院</w:t>
      </w:r>
      <w:r>
        <w:rPr>
          <w:rFonts w:hint="eastAsia" w:cs="宋体" w:asciiTheme="minorEastAsia" w:hAnsiTheme="minorEastAsia"/>
          <w:kern w:val="0"/>
          <w:sz w:val="24"/>
        </w:rPr>
        <w:t>会同相关部门，共同组织专家进行评审，确定我校参加访学项目的学生名单，并进行公示。</w:t>
      </w:r>
    </w:p>
    <w:p w14:paraId="1710DC5C">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inorEastAsia" w:hAnsiTheme="minorEastAsia"/>
          <w:sz w:val="24"/>
        </w:rPr>
      </w:pPr>
    </w:p>
    <w:p w14:paraId="7F984319">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cs="仿宋" w:asciiTheme="minorEastAsia" w:hAnsiTheme="minorEastAsia"/>
          <w:b/>
          <w:bCs/>
          <w:kern w:val="0"/>
          <w:sz w:val="24"/>
          <w14:ligatures w14:val="none"/>
        </w:rPr>
      </w:pPr>
      <w:r>
        <w:rPr>
          <w:rFonts w:hint="eastAsia" w:cs="仿宋" w:asciiTheme="minorEastAsia" w:hAnsiTheme="minorEastAsia"/>
          <w:b/>
          <w:bCs/>
          <w:kern w:val="0"/>
          <w:sz w:val="24"/>
          <w14:ligatures w14:val="none"/>
        </w:rPr>
        <w:t>七</w:t>
      </w:r>
      <w:r>
        <w:rPr>
          <w:rFonts w:cs="仿宋" w:asciiTheme="minorEastAsia" w:hAnsiTheme="minorEastAsia"/>
          <w:b/>
          <w:bCs/>
          <w:kern w:val="0"/>
          <w:sz w:val="24"/>
          <w14:ligatures w14:val="none"/>
        </w:rPr>
        <w:t>、其他</w:t>
      </w:r>
    </w:p>
    <w:p w14:paraId="22CC2D1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1.联系人</w:t>
      </w:r>
    </w:p>
    <w:p w14:paraId="0DEA132A">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国际处</w:t>
      </w:r>
      <w:r>
        <w:rPr>
          <w:rFonts w:hint="eastAsia" w:cs="宋体" w:asciiTheme="minorEastAsia" w:hAnsiTheme="minorEastAsia"/>
          <w:kern w:val="0"/>
          <w:sz w:val="24"/>
          <w:lang w:eastAsia="zh-CN"/>
        </w:rPr>
        <w:t>：</w:t>
      </w:r>
      <w:r>
        <w:rPr>
          <w:rFonts w:hint="eastAsia" w:cs="宋体" w:asciiTheme="minorEastAsia" w:hAnsiTheme="minorEastAsia"/>
          <w:kern w:val="0"/>
          <w:sz w:val="24"/>
          <w:lang w:val="en-US" w:eastAsia="zh-CN"/>
        </w:rPr>
        <w:t>朱</w:t>
      </w:r>
      <w:r>
        <w:rPr>
          <w:rFonts w:hint="eastAsia" w:cs="宋体" w:asciiTheme="minorEastAsia" w:hAnsiTheme="minorEastAsia"/>
          <w:kern w:val="0"/>
          <w:sz w:val="24"/>
        </w:rPr>
        <w:t>老师025-83492393</w:t>
      </w:r>
    </w:p>
    <w:p w14:paraId="67EDDCE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lang w:eastAsia="zh-CN"/>
        </w:rPr>
        <w:t>本科生院：</w:t>
      </w:r>
      <w:bookmarkStart w:id="3" w:name="_GoBack"/>
      <w:bookmarkEnd w:id="3"/>
      <w:r>
        <w:rPr>
          <w:rFonts w:hint="eastAsia" w:cs="宋体" w:asciiTheme="minorEastAsia" w:hAnsiTheme="minorEastAsia"/>
          <w:kern w:val="0"/>
          <w:sz w:val="24"/>
        </w:rPr>
        <w:t>于老师025-85866258</w:t>
      </w:r>
    </w:p>
    <w:p w14:paraId="5108EA62">
      <w:pPr>
        <w:keepNext w:val="0"/>
        <w:keepLines w:val="0"/>
        <w:pageBreakBefore w:val="0"/>
        <w:widowControl w:val="0"/>
        <w:numPr>
          <w:ilvl w:val="0"/>
          <w:numId w:val="1"/>
        </w:numPr>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r>
        <w:rPr>
          <w:rFonts w:hint="eastAsia" w:cs="宋体" w:asciiTheme="minorEastAsia" w:hAnsiTheme="minorEastAsia"/>
          <w:kern w:val="0"/>
          <w:sz w:val="24"/>
        </w:rPr>
        <w:t>被录取学生如需交纳其他材料将另行通知。</w:t>
      </w:r>
    </w:p>
    <w:p w14:paraId="67AA4107">
      <w:pPr>
        <w:keepNext w:val="0"/>
        <w:keepLines w:val="0"/>
        <w:pageBreakBefore w:val="0"/>
        <w:widowControl w:val="0"/>
        <w:numPr>
          <w:numId w:val="0"/>
        </w:numPr>
        <w:kinsoku/>
        <w:wordWrap/>
        <w:overflowPunct/>
        <w:topLinePunct w:val="0"/>
        <w:autoSpaceDE/>
        <w:autoSpaceDN/>
        <w:bidi w:val="0"/>
        <w:adjustRightInd/>
        <w:snapToGrid/>
        <w:spacing w:after="0" w:line="400" w:lineRule="exact"/>
        <w:textAlignment w:val="auto"/>
        <w:rPr>
          <w:rFonts w:hint="eastAsia" w:cs="宋体" w:asciiTheme="minorEastAsia" w:hAnsiTheme="minorEastAsia"/>
          <w:kern w:val="0"/>
          <w:sz w:val="24"/>
        </w:rPr>
      </w:pPr>
    </w:p>
    <w:p w14:paraId="5E14A058">
      <w:pPr>
        <w:keepNext w:val="0"/>
        <w:keepLines w:val="0"/>
        <w:pageBreakBefore w:val="0"/>
        <w:widowControl w:val="0"/>
        <w:kinsoku/>
        <w:wordWrap/>
        <w:overflowPunct/>
        <w:topLinePunct w:val="0"/>
        <w:autoSpaceDE/>
        <w:autoSpaceDN/>
        <w:bidi w:val="0"/>
        <w:adjustRightInd/>
        <w:snapToGrid/>
        <w:spacing w:after="0" w:line="400" w:lineRule="exact"/>
        <w:jc w:val="right"/>
        <w:textAlignment w:val="auto"/>
        <w:rPr>
          <w:rFonts w:hint="eastAsia" w:cs="宋体" w:asciiTheme="minorEastAsia" w:hAnsiTheme="minorEastAsia"/>
          <w:kern w:val="0"/>
          <w:sz w:val="24"/>
        </w:rPr>
      </w:pPr>
      <w:r>
        <w:rPr>
          <w:rFonts w:hint="eastAsia" w:cs="宋体" w:asciiTheme="minorEastAsia" w:hAnsiTheme="minorEastAsia"/>
          <w:kern w:val="0"/>
          <w:sz w:val="24"/>
        </w:rPr>
        <w:t>国际合作交流处</w:t>
      </w:r>
    </w:p>
    <w:p w14:paraId="4711E23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cs="宋体" w:asciiTheme="minorEastAsia" w:hAnsiTheme="minorEastAsia" w:eastAsiaTheme="minorEastAsia"/>
          <w:kern w:val="0"/>
          <w:sz w:val="24"/>
          <w:lang w:val="en-US" w:eastAsia="zh-CN"/>
        </w:rPr>
      </w:pPr>
      <w:r>
        <w:rPr>
          <w:rFonts w:hint="eastAsia" w:cs="宋体" w:asciiTheme="minorEastAsia" w:hAnsiTheme="minorEastAsia"/>
          <w:kern w:val="0"/>
          <w:sz w:val="24"/>
          <w:lang w:val="en-US" w:eastAsia="zh-CN"/>
        </w:rPr>
        <w:t xml:space="preserve">                                                               本科生院</w:t>
      </w:r>
    </w:p>
    <w:p w14:paraId="0DDF283D">
      <w:pPr>
        <w:keepNext w:val="0"/>
        <w:keepLines w:val="0"/>
        <w:pageBreakBefore w:val="0"/>
        <w:widowControl w:val="0"/>
        <w:kinsoku/>
        <w:wordWrap/>
        <w:overflowPunct/>
        <w:topLinePunct w:val="0"/>
        <w:autoSpaceDE/>
        <w:autoSpaceDN/>
        <w:bidi w:val="0"/>
        <w:adjustRightInd/>
        <w:snapToGrid/>
        <w:spacing w:after="0" w:line="400" w:lineRule="exact"/>
        <w:jc w:val="right"/>
        <w:textAlignment w:val="auto"/>
        <w:rPr>
          <w:rFonts w:hint="eastAsia" w:cs="宋体" w:asciiTheme="minorEastAsia" w:hAnsiTheme="minorEastAsia"/>
          <w:kern w:val="0"/>
          <w:sz w:val="24"/>
        </w:rPr>
      </w:pPr>
      <w:r>
        <w:rPr>
          <w:rFonts w:hint="eastAsia" w:cs="宋体" w:asciiTheme="minorEastAsia" w:hAnsiTheme="minorEastAsia"/>
          <w:kern w:val="0"/>
          <w:sz w:val="24"/>
        </w:rPr>
        <w:t>2026年3月</w:t>
      </w:r>
      <w:r>
        <w:rPr>
          <w:rFonts w:hint="eastAsia" w:cs="宋体" w:asciiTheme="minorEastAsia" w:hAnsiTheme="minorEastAsia"/>
          <w:kern w:val="0"/>
          <w:sz w:val="24"/>
          <w:lang w:val="en-US" w:eastAsia="zh-CN"/>
        </w:rPr>
        <w:t>20</w:t>
      </w:r>
      <w:r>
        <w:rPr>
          <w:rFonts w:hint="eastAsia" w:cs="宋体" w:asciiTheme="minorEastAsia" w:hAnsiTheme="minorEastAsia"/>
          <w:kern w:val="0"/>
          <w:sz w:val="24"/>
        </w:rPr>
        <w:t>日</w:t>
      </w: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D42EA"/>
    <w:multiLevelType w:val="singleLevel"/>
    <w:tmpl w:val="4ECD42E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YWRhN2ExZjRkZTQ3NWU2YjkwNGVjMzkwMjk4YmMifQ=="/>
  </w:docVars>
  <w:rsids>
    <w:rsidRoot w:val="62ED784C"/>
    <w:rsid w:val="00034FD0"/>
    <w:rsid w:val="000431C4"/>
    <w:rsid w:val="000D664B"/>
    <w:rsid w:val="001012D6"/>
    <w:rsid w:val="00271CDB"/>
    <w:rsid w:val="00274CDB"/>
    <w:rsid w:val="002F527F"/>
    <w:rsid w:val="003B0862"/>
    <w:rsid w:val="003B291D"/>
    <w:rsid w:val="003D1435"/>
    <w:rsid w:val="00400C56"/>
    <w:rsid w:val="00411448"/>
    <w:rsid w:val="00485A8B"/>
    <w:rsid w:val="004D6015"/>
    <w:rsid w:val="004F2095"/>
    <w:rsid w:val="00540F0B"/>
    <w:rsid w:val="00584311"/>
    <w:rsid w:val="00697575"/>
    <w:rsid w:val="006A3076"/>
    <w:rsid w:val="006A3EA0"/>
    <w:rsid w:val="007169F9"/>
    <w:rsid w:val="0072504E"/>
    <w:rsid w:val="007E130E"/>
    <w:rsid w:val="00852C3A"/>
    <w:rsid w:val="00911D40"/>
    <w:rsid w:val="009535D0"/>
    <w:rsid w:val="0096638F"/>
    <w:rsid w:val="009D7150"/>
    <w:rsid w:val="00A526DF"/>
    <w:rsid w:val="00A56B31"/>
    <w:rsid w:val="00A75804"/>
    <w:rsid w:val="00A80F7E"/>
    <w:rsid w:val="00A87BAA"/>
    <w:rsid w:val="00A94CA8"/>
    <w:rsid w:val="00C326BB"/>
    <w:rsid w:val="00D04013"/>
    <w:rsid w:val="00D069CB"/>
    <w:rsid w:val="00D23DB2"/>
    <w:rsid w:val="00D27302"/>
    <w:rsid w:val="00D3741E"/>
    <w:rsid w:val="00D80031"/>
    <w:rsid w:val="00D90A58"/>
    <w:rsid w:val="00DF05C7"/>
    <w:rsid w:val="00E70FD0"/>
    <w:rsid w:val="00E9071E"/>
    <w:rsid w:val="00EE745B"/>
    <w:rsid w:val="00FA698D"/>
    <w:rsid w:val="043F1623"/>
    <w:rsid w:val="11CB21F0"/>
    <w:rsid w:val="179C324F"/>
    <w:rsid w:val="1FBA579B"/>
    <w:rsid w:val="2A6C5FAE"/>
    <w:rsid w:val="30AD2347"/>
    <w:rsid w:val="32E04890"/>
    <w:rsid w:val="3B4B44AC"/>
    <w:rsid w:val="3CEC1012"/>
    <w:rsid w:val="51EF7475"/>
    <w:rsid w:val="5C746074"/>
    <w:rsid w:val="5F6661A5"/>
    <w:rsid w:val="62ED784C"/>
    <w:rsid w:val="73392F53"/>
    <w:rsid w:val="78BB0160"/>
    <w:rsid w:val="7ECB0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qFormat/>
    <w:uiPriority w:val="0"/>
    <w:pPr>
      <w:keepNext/>
      <w:keepLines/>
      <w:spacing w:before="340" w:after="330" w:line="576" w:lineRule="auto"/>
      <w:jc w:val="center"/>
      <w:outlineLvl w:val="0"/>
    </w:pPr>
    <w:rPr>
      <w:b/>
      <w:kern w:val="44"/>
      <w:sz w:val="44"/>
    </w:rPr>
  </w:style>
  <w:style w:type="paragraph" w:styleId="3">
    <w:name w:val="heading 2"/>
    <w:basedOn w:val="1"/>
    <w:next w:val="1"/>
    <w:semiHidden/>
    <w:unhideWhenUsed/>
    <w:qFormat/>
    <w:uiPriority w:val="0"/>
    <w:pPr>
      <w:keepNext/>
      <w:keepLines/>
      <w:spacing w:before="260" w:after="260" w:line="413" w:lineRule="auto"/>
      <w:jc w:val="center"/>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iPriority w:val="0"/>
    <w:pPr>
      <w:tabs>
        <w:tab w:val="center" w:pos="4153"/>
        <w:tab w:val="right" w:pos="8306"/>
      </w:tabs>
      <w:snapToGrid w:val="0"/>
      <w:spacing w:line="240" w:lineRule="auto"/>
    </w:pPr>
    <w:rPr>
      <w:sz w:val="18"/>
      <w:szCs w:val="18"/>
    </w:rPr>
  </w:style>
  <w:style w:type="paragraph" w:styleId="5">
    <w:name w:val="header"/>
    <w:basedOn w:val="1"/>
    <w:link w:val="11"/>
    <w:qFormat/>
    <w:uiPriority w:val="0"/>
    <w:pPr>
      <w:tabs>
        <w:tab w:val="center" w:pos="4153"/>
        <w:tab w:val="right" w:pos="8306"/>
      </w:tabs>
      <w:snapToGrid w:val="0"/>
      <w:spacing w:line="240" w:lineRule="auto"/>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paragraph" w:styleId="10">
    <w:name w:val="List Paragraph"/>
    <w:basedOn w:val="1"/>
    <w:qFormat/>
    <w:uiPriority w:val="34"/>
    <w:pPr>
      <w:ind w:left="720"/>
      <w:contextualSpacing/>
    </w:pPr>
  </w:style>
  <w:style w:type="character" w:customStyle="1" w:styleId="11">
    <w:name w:val="页眉 字符"/>
    <w:basedOn w:val="8"/>
    <w:link w:val="5"/>
    <w:qFormat/>
    <w:uiPriority w:val="0"/>
    <w:rPr>
      <w:rFonts w:asciiTheme="minorHAnsi" w:hAnsiTheme="minorHAnsi" w:eastAsiaTheme="minorEastAsia" w:cstheme="minorBidi"/>
      <w:kern w:val="2"/>
      <w:sz w:val="18"/>
      <w:szCs w:val="18"/>
      <w14:ligatures w14:val="standardContextual"/>
    </w:rPr>
  </w:style>
  <w:style w:type="character" w:customStyle="1" w:styleId="12">
    <w:name w:val="页脚 字符"/>
    <w:basedOn w:val="8"/>
    <w:link w:val="4"/>
    <w:qFormat/>
    <w:uiPriority w:val="0"/>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1576</Words>
  <Characters>1671</Characters>
  <Lines>12</Lines>
  <Paragraphs>3</Paragraphs>
  <TotalTime>115</TotalTime>
  <ScaleCrop>false</ScaleCrop>
  <LinksUpToDate>false</LinksUpToDate>
  <CharactersWithSpaces>1676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2024-09-27T01:56:00Z</dcterms:created>
  <dc:creator>smallcherries</dc:creator>
  <cp:lastModifiedBy>于华</cp:lastModifiedBy>
  <cp:lastPrinted>2025-03-12T09:33:00Z</cp:lastPrinted>
  <dcterms:modified xsi:type="dcterms:W3CDTF">2026-03-23T08:25:25Z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75E6EF623CD44268A0F67B72517109CE_11</vt:lpwstr>
  </property>
  <property fmtid="{D5CDD505-2E9C-101B-9397-08002B2CF9AE}" pid="4" name="KSOTemplateDocerSaveRecord">
    <vt:lpwstr>eyJoZGlkIjoiNzdjYzk2NWQ5Yjk3N2M3NmUwNTFlY2MxMTEwODE4M2UiLCJ1c2VySWQiOiIxNDc5NTE5NDcxIn0=</vt:lpwstr>
  </property>
</Properties>
</file>