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666E1" w14:textId="77777777" w:rsidR="00EA67A7" w:rsidRPr="00700F61" w:rsidRDefault="009C6045" w:rsidP="00700F61">
      <w:pPr>
        <w:widowControl/>
        <w:spacing w:beforeLines="50" w:before="156" w:afterLines="50" w:after="156" w:line="360" w:lineRule="atLeast"/>
        <w:jc w:val="center"/>
        <w:rPr>
          <w:rFonts w:ascii="宋体" w:eastAsia="宋体" w:hAnsi="宋体" w:cs="宋体"/>
          <w:b/>
          <w:bCs/>
          <w:kern w:val="0"/>
          <w:sz w:val="30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关于</w:t>
      </w:r>
      <w:bookmarkStart w:id="0" w:name="OLE_LINK2"/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美国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  <w:lang w:val="en-CA"/>
        </w:rPr>
        <w:t>加州大学欧文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分校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访学研修学分课程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（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2026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学年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）</w:t>
      </w:r>
      <w:bookmarkEnd w:id="0"/>
    </w:p>
    <w:p w14:paraId="52485AAA" w14:textId="57D869E2" w:rsidR="00EA67A7" w:rsidRPr="00700F61" w:rsidRDefault="009C6045" w:rsidP="00700F61">
      <w:pPr>
        <w:widowControl/>
        <w:spacing w:beforeLines="50" w:before="156" w:afterLines="50" w:after="156" w:line="360" w:lineRule="atLeast"/>
        <w:jc w:val="center"/>
        <w:rPr>
          <w:rFonts w:ascii="宋体" w:eastAsia="宋体" w:hAnsi="宋体" w:cs="宋体"/>
          <w:b/>
          <w:bCs/>
          <w:kern w:val="0"/>
          <w:sz w:val="30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项目报名</w:t>
      </w:r>
      <w:r w:rsidRPr="00700F61">
        <w:rPr>
          <w:rFonts w:ascii="宋体" w:eastAsia="宋体" w:hAnsi="宋体" w:cs="宋体" w:hint="eastAsia"/>
          <w:b/>
          <w:bCs/>
          <w:kern w:val="0"/>
          <w:sz w:val="30"/>
        </w:rPr>
        <w:t>通知</w:t>
      </w:r>
    </w:p>
    <w:p w14:paraId="474A9A18" w14:textId="77777777" w:rsidR="00EA67A7" w:rsidRPr="00700F61" w:rsidRDefault="009C6045" w:rsidP="00700F61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bCs/>
          <w:sz w:val="24"/>
          <w:szCs w:val="24"/>
        </w:rPr>
      </w:pP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我校与美国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加州大学欧文分校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友好协商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，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欧文分校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将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继续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为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我校学生提供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访学研修学期（学分）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课程，让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同学们和来自全球的优秀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学生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共同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  <w:lang w:val="en-CA"/>
        </w:rPr>
        <w:t>深度探索和学习前沿的研究领域知识、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适应美国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顶尖名校的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学习风格、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同时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浸入式地感受美国的文化和学术氛围。现启动申请工作。</w:t>
      </w:r>
    </w:p>
    <w:p w14:paraId="3B693C8E" w14:textId="4927C80E" w:rsidR="00EA67A7" w:rsidRPr="00700F61" w:rsidRDefault="009C6045">
      <w:pPr>
        <w:widowControl/>
        <w:spacing w:line="400" w:lineRule="atLeast"/>
        <w:ind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一、欧文分校简介</w:t>
      </w:r>
    </w:p>
    <w:p w14:paraId="25AE94B8" w14:textId="4DFF990F" w:rsidR="00EA67A7" w:rsidRPr="00700F61" w:rsidRDefault="009C6045">
      <w:pPr>
        <w:spacing w:line="360" w:lineRule="auto"/>
        <w:ind w:firstLineChars="150" w:firstLine="360"/>
        <w:jc w:val="left"/>
        <w:rPr>
          <w:rFonts w:asciiTheme="minorEastAsia" w:hAnsiTheme="minorEastAsia" w:cstheme="minorEastAsia"/>
          <w:bCs/>
          <w:sz w:val="24"/>
          <w:szCs w:val="24"/>
        </w:rPr>
      </w:pP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加州大学欧文分校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(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简称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UCI)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，创立于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1965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年，位于南加州的橘子郡，是加州大学系统综合实力最为强劲的分校之一，它多年都位列于世界“百强大学”，是世界顶尖研究型大学，同时也是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“</w:t>
      </w:r>
      <w:hyperlink r:id="rId7" w:tgtFrame="_blank" w:history="1">
        <w:r w:rsidRPr="00700F61">
          <w:rPr>
            <w:rFonts w:asciiTheme="minorEastAsia" w:hAnsiTheme="minorEastAsia" w:cstheme="minorEastAsia" w:hint="eastAsia"/>
            <w:bCs/>
            <w:sz w:val="24"/>
            <w:szCs w:val="24"/>
          </w:rPr>
          <w:t>公立常春藤</w:t>
        </w:r>
      </w:hyperlink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”盟校成员。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2021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年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USNEWS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综合排名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78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位，美国公立学校排名第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7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位。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UCI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科研实力非常卓越，曾在物理和化学领域获得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3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个诺贝尔奖，化学、生物、物理、商科、工程、计算机、法律、经济和政治科学是其强势专业，均在全美排名前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50</w:t>
      </w:r>
      <w:r w:rsidRPr="00700F61">
        <w:rPr>
          <w:rFonts w:asciiTheme="minorEastAsia" w:hAnsiTheme="minorEastAsia" w:cstheme="minorEastAsia" w:hint="eastAsia"/>
          <w:bCs/>
          <w:sz w:val="24"/>
          <w:szCs w:val="24"/>
        </w:rPr>
        <w:t>。</w:t>
      </w:r>
    </w:p>
    <w:p w14:paraId="61C98196" w14:textId="77777777" w:rsidR="00EA67A7" w:rsidRPr="00700F61" w:rsidRDefault="00EA67A7">
      <w:pPr>
        <w:spacing w:line="360" w:lineRule="auto"/>
        <w:ind w:firstLineChars="150" w:firstLine="360"/>
        <w:jc w:val="left"/>
        <w:rPr>
          <w:rFonts w:asciiTheme="minorEastAsia" w:hAnsiTheme="minorEastAsia" w:cstheme="minorEastAsia"/>
          <w:bCs/>
          <w:sz w:val="24"/>
          <w:szCs w:val="24"/>
        </w:rPr>
      </w:pPr>
    </w:p>
    <w:p w14:paraId="336B45D4" w14:textId="77777777" w:rsidR="00EA67A7" w:rsidRPr="00700F61" w:rsidRDefault="009C6045">
      <w:pPr>
        <w:widowControl/>
        <w:spacing w:line="400" w:lineRule="atLeast"/>
        <w:ind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二、项目简介</w:t>
      </w:r>
    </w:p>
    <w:p w14:paraId="36052A2D" w14:textId="77777777" w:rsidR="00EA67A7" w:rsidRDefault="009C60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  <w:lang w:val="en-CA"/>
        </w:rPr>
        <w:t>Undergraduate Aca</w:t>
      </w:r>
      <w:r>
        <w:rPr>
          <w:rFonts w:asciiTheme="minorEastAsia" w:hAnsiTheme="minorEastAsia" w:cstheme="minorEastAsia" w:hint="eastAsia"/>
          <w:bCs/>
          <w:sz w:val="24"/>
          <w:szCs w:val="24"/>
          <w:lang w:val="en-CA"/>
        </w:rPr>
        <w:t xml:space="preserve">demic Study Abroad Program (U-ASAP) </w:t>
      </w:r>
      <w:r>
        <w:rPr>
          <w:rFonts w:asciiTheme="minorEastAsia" w:hAnsiTheme="minorEastAsia" w:cstheme="minorEastAsia" w:hint="eastAsia"/>
          <w:bCs/>
          <w:sz w:val="24"/>
          <w:szCs w:val="24"/>
          <w:lang w:val="en-CA"/>
        </w:rPr>
        <w:t>是加州大学欧文分校面向全球优等本科学生开展的学术交流项目</w:t>
      </w:r>
      <w:r>
        <w:rPr>
          <w:rFonts w:asciiTheme="minorEastAsia" w:hAnsiTheme="minorEastAsia" w:cstheme="minorEastAsia" w:hint="eastAsia"/>
          <w:bCs/>
          <w:sz w:val="24"/>
          <w:szCs w:val="24"/>
          <w:lang w:val="en-CA"/>
        </w:rPr>
        <w:t>，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是一个已经面向全世界高校开设多年的【特色】学术交流课程。得益于其大学的学术声誉与全美最安全城市“美名”，每年有来自全世界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100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多个国家及地区的学生来到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UCI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进行交流学习，多年来获得了世界各地合作大学伙伴与优秀学子的一致好评。</w:t>
      </w:r>
    </w:p>
    <w:p w14:paraId="6C4FFF6A" w14:textId="2414F488" w:rsidR="00EA67A7" w:rsidRDefault="009C60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学生通过所在学校以及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UCI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的共同选拔后，在为期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1-3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学期时间里，学生会选择自己最感兴趣，同时符合自己学术目标的课程，师从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UCI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大学里的知名教授，并且和其它本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地学生一起学习、实验室科研、讨论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和发表论文。</w:t>
      </w:r>
    </w:p>
    <w:p w14:paraId="1A069666" w14:textId="77777777" w:rsidR="00EA67A7" w:rsidRDefault="009C6045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顺利完成课程后，学生将会获得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UCI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开具的结业证书和成绩单，经中方大学处，或者院系评估后认可的学分转为中方大学学分。</w:t>
      </w:r>
    </w:p>
    <w:p w14:paraId="1DF1D12A" w14:textId="77777777" w:rsidR="00700F61" w:rsidRDefault="00700F61">
      <w:pPr>
        <w:spacing w:line="360" w:lineRule="auto"/>
        <w:ind w:firstLineChars="200" w:firstLine="480"/>
        <w:jc w:val="left"/>
        <w:rPr>
          <w:rFonts w:ascii="等线" w:eastAsia="等线" w:hAnsi="等线" w:cstheme="minorHAnsi" w:hint="eastAsia"/>
          <w:b/>
          <w:bCs/>
          <w:sz w:val="24"/>
          <w:szCs w:val="24"/>
          <w:lang w:val="en-CA"/>
        </w:rPr>
      </w:pPr>
    </w:p>
    <w:p w14:paraId="2F0D6334" w14:textId="77777777" w:rsidR="00EA67A7" w:rsidRDefault="00EA67A7">
      <w:pPr>
        <w:jc w:val="center"/>
        <w:rPr>
          <w:rFonts w:ascii="等线" w:eastAsia="等线" w:hAnsi="等线" w:cstheme="minorHAnsi"/>
          <w:b/>
          <w:bCs/>
          <w:sz w:val="24"/>
          <w:szCs w:val="24"/>
          <w:lang w:val="en-CA"/>
        </w:rPr>
      </w:pPr>
    </w:p>
    <w:p w14:paraId="393B87EE" w14:textId="77777777" w:rsidR="00EA67A7" w:rsidRDefault="009C6045">
      <w:pPr>
        <w:jc w:val="center"/>
        <w:rPr>
          <w:rFonts w:ascii="等线" w:eastAsia="等线" w:hAnsi="等线" w:cstheme="minorHAnsi"/>
          <w:b/>
          <w:bCs/>
          <w:sz w:val="24"/>
          <w:szCs w:val="24"/>
          <w:lang w:val="en-CA"/>
        </w:rPr>
      </w:pPr>
      <w:r>
        <w:rPr>
          <w:rFonts w:ascii="等线" w:eastAsia="等线" w:hAnsi="等线" w:cstheme="minorHAnsi"/>
          <w:b/>
          <w:bCs/>
          <w:sz w:val="24"/>
          <w:szCs w:val="24"/>
          <w:lang w:val="en-CA"/>
        </w:rPr>
        <w:lastRenderedPageBreak/>
        <w:t>100%“</w:t>
      </w:r>
      <w:r>
        <w:rPr>
          <w:rFonts w:ascii="等线" w:eastAsia="等线" w:hAnsi="等线" w:cstheme="minorHAnsi"/>
          <w:b/>
          <w:bCs/>
          <w:sz w:val="24"/>
          <w:szCs w:val="24"/>
          <w:lang w:val="en-CA"/>
        </w:rPr>
        <w:t>原汁原味</w:t>
      </w:r>
      <w:r>
        <w:rPr>
          <w:rFonts w:ascii="等线" w:eastAsia="等线" w:hAnsi="等线" w:cstheme="minorHAnsi"/>
          <w:b/>
          <w:bCs/>
          <w:sz w:val="24"/>
          <w:szCs w:val="24"/>
          <w:lang w:val="en-CA"/>
        </w:rPr>
        <w:t>”</w:t>
      </w:r>
      <w:r>
        <w:rPr>
          <w:rFonts w:ascii="等线" w:eastAsia="等线" w:hAnsi="等线" w:cstheme="minorHAnsi"/>
          <w:b/>
          <w:bCs/>
          <w:sz w:val="24"/>
          <w:szCs w:val="24"/>
          <w:lang w:val="en-CA"/>
        </w:rPr>
        <w:t>的加州欧文学习体验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799"/>
        <w:gridCol w:w="7948"/>
      </w:tblGrid>
      <w:tr w:rsidR="00EA67A7" w14:paraId="3A575394" w14:textId="77777777">
        <w:tc>
          <w:tcPr>
            <w:tcW w:w="1799" w:type="dxa"/>
          </w:tcPr>
          <w:p w14:paraId="279E1D78" w14:textId="77777777" w:rsidR="00EA67A7" w:rsidRDefault="00EA67A7">
            <w:pPr>
              <w:rPr>
                <w:rFonts w:ascii="等线" w:eastAsia="等线" w:hAnsi="等线" w:cstheme="minorHAnsi"/>
                <w:lang w:val="en-CA"/>
              </w:rPr>
            </w:pPr>
          </w:p>
        </w:tc>
        <w:tc>
          <w:tcPr>
            <w:tcW w:w="7948" w:type="dxa"/>
          </w:tcPr>
          <w:p w14:paraId="12A15A6B" w14:textId="77777777" w:rsidR="00EA67A7" w:rsidRDefault="009C6045">
            <w:pPr>
              <w:jc w:val="center"/>
              <w:rPr>
                <w:rFonts w:ascii="等线" w:eastAsia="等线" w:hAnsi="等线" w:cstheme="minorHAnsi"/>
                <w:b/>
                <w:bCs/>
                <w:lang w:val="en-CA"/>
              </w:rPr>
            </w:pPr>
            <w:r>
              <w:rPr>
                <w:rFonts w:ascii="等线" w:eastAsia="等线" w:hAnsi="等线" w:cstheme="minorHAnsi" w:hint="eastAsia"/>
                <w:b/>
                <w:bCs/>
                <w:lang w:val="en-CA"/>
              </w:rPr>
              <w:t>访学研修学分课程</w:t>
            </w:r>
            <w:r>
              <w:rPr>
                <w:rFonts w:ascii="等线" w:eastAsia="等线" w:hAnsi="等线" w:cstheme="minorHAnsi" w:hint="eastAsia"/>
                <w:b/>
                <w:bCs/>
                <w:lang w:val="en-CA"/>
              </w:rPr>
              <w:t>A</w:t>
            </w:r>
            <w:r>
              <w:rPr>
                <w:rFonts w:ascii="等线" w:eastAsia="等线" w:hAnsi="等线" w:cstheme="minorHAnsi"/>
                <w:b/>
                <w:bCs/>
                <w:lang w:val="en-CA"/>
              </w:rPr>
              <w:t>SAP</w:t>
            </w:r>
          </w:p>
        </w:tc>
      </w:tr>
      <w:tr w:rsidR="00EA67A7" w14:paraId="4513861F" w14:textId="77777777">
        <w:tc>
          <w:tcPr>
            <w:tcW w:w="1799" w:type="dxa"/>
          </w:tcPr>
          <w:p w14:paraId="3A79D330" w14:textId="77777777" w:rsidR="00EA67A7" w:rsidRDefault="009C6045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>
              <w:rPr>
                <w:rFonts w:ascii="等线" w:eastAsia="等线" w:hAnsi="等线" w:cstheme="minorHAnsi"/>
                <w:b/>
                <w:bCs/>
                <w:lang w:val="en-CA"/>
              </w:rPr>
              <w:t>学生群体：</w:t>
            </w:r>
          </w:p>
        </w:tc>
        <w:tc>
          <w:tcPr>
            <w:tcW w:w="7948" w:type="dxa"/>
          </w:tcPr>
          <w:p w14:paraId="5A0F10F2" w14:textId="77777777" w:rsidR="00EA67A7" w:rsidRDefault="009C6045">
            <w:pPr>
              <w:rPr>
                <w:rFonts w:ascii="等线" w:eastAsia="等线" w:hAnsi="等线" w:cstheme="minorHAnsi"/>
                <w:lang w:val="en-CA"/>
              </w:rPr>
            </w:pPr>
            <w:r>
              <w:rPr>
                <w:rFonts w:ascii="等线" w:eastAsia="等线" w:hAnsi="等线" w:cstheme="minorHAnsi" w:hint="eastAsia"/>
                <w:lang w:val="en-CA"/>
              </w:rPr>
              <w:t>至少完成一年的本科课程，且</w:t>
            </w:r>
            <w:r>
              <w:rPr>
                <w:rFonts w:ascii="等线" w:eastAsia="等线" w:hAnsi="等线" w:cstheme="minorHAnsi" w:hint="eastAsia"/>
                <w:b/>
                <w:bCs/>
                <w:lang w:val="en-CA"/>
              </w:rPr>
              <w:t xml:space="preserve">GPA </w:t>
            </w:r>
            <w:r>
              <w:rPr>
                <w:rFonts w:ascii="等线" w:eastAsia="等线" w:hAnsi="等线" w:cstheme="minorHAnsi" w:hint="eastAsia"/>
                <w:b/>
                <w:bCs/>
              </w:rPr>
              <w:t>2.6</w:t>
            </w:r>
            <w:r>
              <w:rPr>
                <w:rFonts w:ascii="等线" w:eastAsia="等线" w:hAnsi="等线" w:cstheme="minorHAnsi" w:hint="eastAsia"/>
                <w:lang w:val="en-CA"/>
              </w:rPr>
              <w:t>以上的本科生</w:t>
            </w:r>
            <w:r>
              <w:rPr>
                <w:rFonts w:ascii="等线" w:eastAsia="等线" w:hAnsi="等线" w:cstheme="minorHAnsi" w:hint="eastAsia"/>
                <w:lang w:val="en-CA"/>
              </w:rPr>
              <w:t>/</w:t>
            </w:r>
            <w:r>
              <w:rPr>
                <w:rFonts w:ascii="等线" w:eastAsia="等线" w:hAnsi="等线" w:cstheme="minorHAnsi" w:hint="eastAsia"/>
                <w:lang w:val="en-CA"/>
              </w:rPr>
              <w:t>研究生</w:t>
            </w:r>
            <w:r>
              <w:rPr>
                <w:rFonts w:ascii="等线" w:eastAsia="等线" w:hAnsi="等线" w:cstheme="minorHAnsi" w:hint="eastAsia"/>
                <w:lang w:val="en-CA"/>
              </w:rPr>
              <w:t>/</w:t>
            </w:r>
            <w:r>
              <w:rPr>
                <w:rFonts w:ascii="等线" w:eastAsia="等线" w:hAnsi="等线" w:cstheme="minorHAnsi" w:hint="eastAsia"/>
                <w:lang w:val="en-CA"/>
              </w:rPr>
              <w:t>博士</w:t>
            </w:r>
          </w:p>
        </w:tc>
      </w:tr>
      <w:tr w:rsidR="00EA67A7" w14:paraId="59BE8733" w14:textId="77777777">
        <w:tc>
          <w:tcPr>
            <w:tcW w:w="1799" w:type="dxa"/>
          </w:tcPr>
          <w:p w14:paraId="14F42CDF" w14:textId="77777777" w:rsidR="00EA67A7" w:rsidRDefault="009C6045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>
              <w:rPr>
                <w:rFonts w:ascii="等线" w:eastAsia="等线" w:hAnsi="等线" w:cstheme="minorHAnsi"/>
                <w:b/>
                <w:bCs/>
                <w:lang w:val="en-CA"/>
              </w:rPr>
              <w:t>签证类别：</w:t>
            </w:r>
          </w:p>
        </w:tc>
        <w:tc>
          <w:tcPr>
            <w:tcW w:w="7948" w:type="dxa"/>
          </w:tcPr>
          <w:p w14:paraId="78C107D3" w14:textId="77777777" w:rsidR="00EA67A7" w:rsidRDefault="009C6045">
            <w:pPr>
              <w:rPr>
                <w:rFonts w:ascii="等线" w:eastAsia="等线" w:hAnsi="等线" w:cstheme="minorHAnsi"/>
                <w:lang w:val="en-CA"/>
              </w:rPr>
            </w:pPr>
            <w:r>
              <w:rPr>
                <w:rFonts w:ascii="等线" w:eastAsia="等线" w:hAnsi="等线" w:cstheme="minorHAnsi"/>
                <w:lang w:val="en-CA"/>
              </w:rPr>
              <w:t>F-1</w:t>
            </w:r>
            <w:r>
              <w:rPr>
                <w:rFonts w:ascii="等线" w:eastAsia="等线" w:hAnsi="等线" w:cstheme="minorHAnsi"/>
                <w:lang w:val="en-CA"/>
              </w:rPr>
              <w:t>学生签证</w:t>
            </w:r>
          </w:p>
        </w:tc>
      </w:tr>
      <w:tr w:rsidR="00EA67A7" w14:paraId="1975A66D" w14:textId="77777777">
        <w:tc>
          <w:tcPr>
            <w:tcW w:w="1799" w:type="dxa"/>
          </w:tcPr>
          <w:p w14:paraId="55C0841B" w14:textId="77777777" w:rsidR="00EA67A7" w:rsidRDefault="009C6045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  <w:r>
              <w:rPr>
                <w:rFonts w:ascii="等线" w:eastAsia="等线" w:hAnsi="等线" w:cstheme="minorHAnsi"/>
                <w:b/>
                <w:bCs/>
                <w:lang w:val="en-CA"/>
              </w:rPr>
              <w:t>专业选择：</w:t>
            </w:r>
          </w:p>
        </w:tc>
        <w:tc>
          <w:tcPr>
            <w:tcW w:w="7948" w:type="dxa"/>
          </w:tcPr>
          <w:p w14:paraId="3885A026" w14:textId="77777777" w:rsidR="00EA67A7" w:rsidRDefault="009C6045">
            <w:pPr>
              <w:pStyle w:val="a9"/>
              <w:numPr>
                <w:ilvl w:val="0"/>
                <w:numId w:val="1"/>
              </w:numPr>
              <w:rPr>
                <w:rFonts w:ascii="等线" w:eastAsia="等线" w:hAnsi="等线" w:cstheme="minorHAnsi"/>
                <w:lang w:val="en-CA"/>
              </w:rPr>
            </w:pPr>
            <w:r>
              <w:rPr>
                <w:rFonts w:ascii="等线" w:eastAsia="等线" w:hAnsi="等线" w:cstheme="minorHAnsi" w:hint="eastAsia"/>
                <w:lang w:val="en-CA"/>
              </w:rPr>
              <w:t>本科</w:t>
            </w:r>
            <w:r>
              <w:rPr>
                <w:rFonts w:ascii="等线" w:eastAsia="等线" w:hAnsi="等线" w:cstheme="minorHAnsi"/>
                <w:lang w:val="en-CA"/>
              </w:rPr>
              <w:t>1400</w:t>
            </w:r>
            <w:r>
              <w:rPr>
                <w:rFonts w:ascii="等线" w:eastAsia="等线" w:hAnsi="等线" w:cstheme="minorHAnsi"/>
                <w:lang w:val="en-CA"/>
              </w:rPr>
              <w:t>门专业课</w:t>
            </w:r>
          </w:p>
          <w:p w14:paraId="11F02F16" w14:textId="77777777" w:rsidR="00EA67A7" w:rsidRDefault="009C6045">
            <w:pPr>
              <w:pStyle w:val="a9"/>
              <w:numPr>
                <w:ilvl w:val="0"/>
                <w:numId w:val="1"/>
              </w:numPr>
              <w:rPr>
                <w:rFonts w:ascii="等线" w:eastAsia="等线" w:hAnsi="等线" w:cstheme="minorHAnsi"/>
                <w:lang w:val="en-CA"/>
              </w:rPr>
            </w:pPr>
            <w:r>
              <w:rPr>
                <w:rFonts w:ascii="等线" w:eastAsia="等线" w:hAnsi="等线" w:cstheme="minorHAnsi" w:hint="eastAsia"/>
                <w:lang w:val="en-CA"/>
              </w:rPr>
              <w:t>修研究生课程的学生，需要获得</w:t>
            </w:r>
            <w:r>
              <w:rPr>
                <w:rFonts w:ascii="等线" w:eastAsia="等线" w:hAnsi="等线" w:cstheme="minorHAnsi"/>
                <w:lang w:val="en-CA"/>
              </w:rPr>
              <w:t>教授</w:t>
            </w:r>
            <w:r>
              <w:rPr>
                <w:rFonts w:ascii="等线" w:eastAsia="等线" w:hAnsi="等线" w:cstheme="minorHAnsi"/>
                <w:lang w:val="en-CA"/>
              </w:rPr>
              <w:t>/</w:t>
            </w:r>
            <w:r>
              <w:rPr>
                <w:rFonts w:ascii="等线" w:eastAsia="等线" w:hAnsi="等线" w:cstheme="minorHAnsi"/>
                <w:lang w:val="en-CA"/>
              </w:rPr>
              <w:t>导师同意</w:t>
            </w:r>
            <w:r>
              <w:rPr>
                <w:rFonts w:ascii="等线" w:eastAsia="等线" w:hAnsi="等线" w:cstheme="minorHAnsi" w:hint="eastAsia"/>
                <w:lang w:val="en-CA"/>
              </w:rPr>
              <w:t>，且符合背景要求</w:t>
            </w:r>
          </w:p>
        </w:tc>
      </w:tr>
      <w:tr w:rsidR="00EA67A7" w14:paraId="2FED1ACF" w14:textId="77777777">
        <w:trPr>
          <w:trHeight w:val="595"/>
        </w:trPr>
        <w:tc>
          <w:tcPr>
            <w:tcW w:w="1799" w:type="dxa"/>
          </w:tcPr>
          <w:p w14:paraId="166DF611" w14:textId="77777777" w:rsidR="00EA67A7" w:rsidRDefault="009C6045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</w:pPr>
            <w:r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  <w:t>项目优势</w:t>
            </w:r>
          </w:p>
          <w:p w14:paraId="02AD6FC9" w14:textId="77777777" w:rsidR="00EA67A7" w:rsidRDefault="00EA67A7">
            <w:pPr>
              <w:rPr>
                <w:rFonts w:ascii="等线" w:eastAsia="等线" w:hAnsi="等线" w:cstheme="minorHAnsi"/>
                <w:b/>
                <w:bCs/>
                <w:lang w:val="en-CA"/>
              </w:rPr>
            </w:pPr>
          </w:p>
        </w:tc>
        <w:tc>
          <w:tcPr>
            <w:tcW w:w="7948" w:type="dxa"/>
          </w:tcPr>
          <w:p w14:paraId="66C2D174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/>
                <w:color w:val="222222"/>
                <w:lang w:val="en-CA"/>
              </w:rPr>
              <w:t>尊享全美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“</w:t>
            </w:r>
            <w:r>
              <w:rPr>
                <w:rFonts w:ascii="等线" w:eastAsia="等线" w:hAnsi="等线" w:cstheme="minorHAnsi"/>
                <w:b/>
                <w:bCs/>
                <w:color w:val="C00000"/>
                <w:lang w:val="en-CA"/>
              </w:rPr>
              <w:t>最安全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”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城市与校园</w:t>
            </w:r>
          </w:p>
          <w:p w14:paraId="12C9978C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与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UCI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本地学生混班学习</w:t>
            </w:r>
          </w:p>
          <w:p w14:paraId="08E53731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入学课程门槛不高</w:t>
            </w:r>
          </w:p>
          <w:p w14:paraId="7552341C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访学成本比其它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UC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要低</w:t>
            </w:r>
          </w:p>
          <w:p w14:paraId="36AAFA94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国内高校合作、学分可以带回本校</w:t>
            </w:r>
          </w:p>
          <w:p w14:paraId="2F71FBE8" w14:textId="77777777" w:rsidR="00EA67A7" w:rsidRDefault="009C6045">
            <w:pPr>
              <w:pStyle w:val="a9"/>
              <w:numPr>
                <w:ilvl w:val="0"/>
                <w:numId w:val="1"/>
              </w:numPr>
              <w:textAlignment w:val="baseline"/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可获得正式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UCI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大学成绩单和证书</w:t>
            </w:r>
          </w:p>
          <w:p w14:paraId="52CBABAC" w14:textId="77777777" w:rsidR="00EA67A7" w:rsidRDefault="009C6045">
            <w:pPr>
              <w:pStyle w:val="a9"/>
              <w:numPr>
                <w:ilvl w:val="0"/>
                <w:numId w:val="1"/>
              </w:numPr>
              <w:rPr>
                <w:rFonts w:ascii="等线" w:eastAsia="等线" w:hAnsi="等线" w:cstheme="minorHAnsi"/>
                <w:color w:val="000000"/>
                <w:shd w:val="clear" w:color="auto" w:fill="FFFFFF"/>
              </w:rPr>
            </w:pPr>
            <w:r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享受专业学术及科研指导</w:t>
            </w:r>
          </w:p>
          <w:p w14:paraId="0E122E4C" w14:textId="77777777" w:rsidR="00EA67A7" w:rsidRDefault="009C6045">
            <w:pPr>
              <w:pStyle w:val="a9"/>
              <w:numPr>
                <w:ilvl w:val="0"/>
                <w:numId w:val="1"/>
              </w:numPr>
              <w:rPr>
                <w:rFonts w:ascii="等线" w:eastAsia="等线" w:hAnsi="等线" w:cstheme="minorHAnsi"/>
                <w:color w:val="000000"/>
                <w:shd w:val="clear" w:color="auto" w:fill="FFFFFF"/>
              </w:rPr>
            </w:pPr>
            <w:r>
              <w:rPr>
                <w:rFonts w:ascii="等线" w:eastAsia="等线" w:hAnsi="等线" w:cstheme="minorHAnsi"/>
                <w:b/>
                <w:bCs/>
                <w:color w:val="C00000"/>
                <w:shd w:val="clear" w:color="auto" w:fill="FFFFFF"/>
              </w:rPr>
              <w:t>专业课教授推荐信</w:t>
            </w:r>
            <w:r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，有助</w:t>
            </w:r>
            <w:r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  <w:t>硕士</w:t>
            </w:r>
            <w:r>
              <w:rPr>
                <w:rFonts w:ascii="等线" w:eastAsia="等线" w:hAnsi="等线" w:cstheme="minorHAnsi" w:hint="eastAsia"/>
                <w:color w:val="000000"/>
                <w:shd w:val="clear" w:color="auto" w:fill="FFFFFF"/>
              </w:rPr>
              <w:t>/</w:t>
            </w:r>
            <w:r>
              <w:rPr>
                <w:rFonts w:ascii="等线" w:eastAsia="等线" w:hAnsi="等线" w:cstheme="minorHAnsi"/>
                <w:color w:val="000000"/>
                <w:shd w:val="clear" w:color="auto" w:fill="FFFFFF"/>
              </w:rPr>
              <w:t>博士学位与奖学金申请</w:t>
            </w:r>
          </w:p>
        </w:tc>
      </w:tr>
      <w:tr w:rsidR="00EA67A7" w14:paraId="29F8A43C" w14:textId="77777777">
        <w:trPr>
          <w:trHeight w:val="458"/>
        </w:trPr>
        <w:tc>
          <w:tcPr>
            <w:tcW w:w="1799" w:type="dxa"/>
          </w:tcPr>
          <w:p w14:paraId="18642C54" w14:textId="77777777" w:rsidR="00EA67A7" w:rsidRDefault="009C6045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</w:pPr>
            <w:r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  <w:t>成绩单</w:t>
            </w:r>
            <w:r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  <w:t>&amp;</w:t>
            </w:r>
            <w:r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  <w:t>证书</w:t>
            </w:r>
          </w:p>
        </w:tc>
        <w:tc>
          <w:tcPr>
            <w:tcW w:w="7948" w:type="dxa"/>
          </w:tcPr>
          <w:p w14:paraId="4B09D82B" w14:textId="77777777" w:rsidR="00EA67A7" w:rsidRDefault="009C6045">
            <w:pPr>
              <w:pStyle w:val="a8"/>
              <w:rPr>
                <w:lang w:val="en-CA"/>
              </w:rPr>
            </w:pPr>
            <w:r>
              <w:rPr>
                <w:rFonts w:hint="eastAsia"/>
                <w:lang w:val="en-CA"/>
              </w:rPr>
              <w:t>赴美学习前，请咨询中方学校教务处学分转换相关政策，通过本课程学习，学生将会获得</w:t>
            </w:r>
            <w:r>
              <w:rPr>
                <w:rFonts w:hint="eastAsia"/>
                <w:lang w:val="en-CA"/>
              </w:rPr>
              <w:t>UCI</w:t>
            </w:r>
            <w:r>
              <w:rPr>
                <w:rFonts w:hint="eastAsia"/>
                <w:lang w:val="en-CA"/>
              </w:rPr>
              <w:t>本科学分和证书。</w:t>
            </w:r>
          </w:p>
        </w:tc>
      </w:tr>
      <w:tr w:rsidR="00EA67A7" w14:paraId="609D2E6A" w14:textId="77777777">
        <w:trPr>
          <w:trHeight w:val="1776"/>
        </w:trPr>
        <w:tc>
          <w:tcPr>
            <w:tcW w:w="1799" w:type="dxa"/>
          </w:tcPr>
          <w:p w14:paraId="1699CDF9" w14:textId="77777777" w:rsidR="00EA67A7" w:rsidRDefault="009C6045">
            <w:pPr>
              <w:textAlignment w:val="baseline"/>
              <w:rPr>
                <w:rFonts w:ascii="等线" w:eastAsia="等线" w:hAnsi="等线" w:cstheme="minorHAnsi"/>
                <w:b/>
                <w:bCs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选课要求及建议</w:t>
            </w:r>
          </w:p>
        </w:tc>
        <w:tc>
          <w:tcPr>
            <w:tcW w:w="7948" w:type="dxa"/>
          </w:tcPr>
          <w:p w14:paraId="6691C392" w14:textId="77777777" w:rsidR="00EA67A7" w:rsidRDefault="009C6045">
            <w:pPr>
              <w:pStyle w:val="a9"/>
              <w:numPr>
                <w:ilvl w:val="0"/>
                <w:numId w:val="2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本科学生不能选课号</w:t>
            </w:r>
            <w:r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200</w:t>
            </w:r>
            <w:r>
              <w:rPr>
                <w:rFonts w:ascii="等线" w:eastAsia="等线" w:hAnsi="等线" w:cstheme="minorHAnsi" w:hint="eastAsia"/>
                <w:b/>
                <w:bCs/>
                <w:color w:val="222222"/>
                <w:lang w:val="en-CA"/>
              </w:rPr>
              <w:t>以上的课程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，但是学生可以选修其他学院开设的商科、法学相关课程，选修相关课程需要符合背景要求；</w:t>
            </w:r>
          </w:p>
          <w:p w14:paraId="4587B520" w14:textId="77777777" w:rsidR="00EA67A7" w:rsidRDefault="009C6045">
            <w:pPr>
              <w:pStyle w:val="a9"/>
              <w:numPr>
                <w:ilvl w:val="0"/>
                <w:numId w:val="2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课程鼓励学生准备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4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-5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门备选课程；</w:t>
            </w:r>
          </w:p>
          <w:p w14:paraId="0C80D364" w14:textId="77777777" w:rsidR="00EA67A7" w:rsidRDefault="009C6045">
            <w:pPr>
              <w:pStyle w:val="a9"/>
              <w:numPr>
                <w:ilvl w:val="0"/>
                <w:numId w:val="2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研究生在读的学生，第一学期只能修读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1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门研究生学分课程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+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2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本科或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D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CE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课程，第二学期可以根据第一期表现决定是否修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1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门以上的研究生学分。</w:t>
            </w:r>
          </w:p>
          <w:p w14:paraId="5E2E40B7" w14:textId="77777777" w:rsidR="00EA67A7" w:rsidRDefault="009C6045">
            <w:pPr>
              <w:pStyle w:val="a9"/>
              <w:numPr>
                <w:ilvl w:val="0"/>
                <w:numId w:val="2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选修研究生课程的学生需要满足前置课程要求，求并支付</w:t>
            </w:r>
            <w:r>
              <w:rPr>
                <w:rFonts w:ascii="等线" w:eastAsia="等线" w:hAnsi="等线" w:cstheme="minorHAnsi" w:hint="eastAsia"/>
                <w:b/>
                <w:bCs/>
                <w:color w:val="FF0000"/>
                <w:lang w:val="en-CA"/>
              </w:rPr>
              <w:t>$</w:t>
            </w:r>
            <w:r>
              <w:rPr>
                <w:rFonts w:ascii="等线" w:eastAsia="等线" w:hAnsi="等线" w:cstheme="minorHAnsi"/>
                <w:b/>
                <w:bCs/>
                <w:color w:val="FF0000"/>
                <w:lang w:val="en-CA"/>
              </w:rPr>
              <w:t>500/</w:t>
            </w:r>
            <w:r>
              <w:rPr>
                <w:rFonts w:ascii="等线" w:eastAsia="等线" w:hAnsi="等线" w:cstheme="minorHAnsi" w:hint="eastAsia"/>
                <w:b/>
                <w:bCs/>
                <w:color w:val="FF0000"/>
                <w:lang w:val="en-CA"/>
              </w:rPr>
              <w:t>门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研究生课程学费差额</w:t>
            </w:r>
          </w:p>
          <w:p w14:paraId="2625DFE9" w14:textId="77777777" w:rsidR="00EA67A7" w:rsidRDefault="009C6045">
            <w:pPr>
              <w:pStyle w:val="a9"/>
              <w:numPr>
                <w:ilvl w:val="0"/>
                <w:numId w:val="2"/>
              </w:numPr>
              <w:rPr>
                <w:rFonts w:ascii="等线" w:eastAsia="等线" w:hAnsi="等线" w:cstheme="minorHAnsi"/>
                <w:color w:val="222222"/>
                <w:lang w:val="en-CA"/>
              </w:rPr>
            </w:pP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选课前必须先联系辅导员，也必须参加新生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Pre</w:t>
            </w:r>
            <w:r>
              <w:rPr>
                <w:rFonts w:ascii="等线" w:eastAsia="等线" w:hAnsi="等线" w:cstheme="minorHAnsi"/>
                <w:color w:val="222222"/>
                <w:lang w:val="en-CA"/>
              </w:rPr>
              <w:t>-O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rientation</w:t>
            </w:r>
            <w:r>
              <w:rPr>
                <w:rFonts w:ascii="等线" w:eastAsia="等线" w:hAnsi="等线" w:cstheme="minorHAnsi" w:hint="eastAsia"/>
                <w:color w:val="222222"/>
                <w:lang w:val="en-CA"/>
              </w:rPr>
              <w:t>了解选课规则；</w:t>
            </w:r>
          </w:p>
        </w:tc>
      </w:tr>
    </w:tbl>
    <w:p w14:paraId="6B39999D" w14:textId="77777777" w:rsidR="00EA67A7" w:rsidRDefault="00EA67A7">
      <w:pPr>
        <w:pStyle w:val="a3"/>
        <w:rPr>
          <w:rFonts w:asciiTheme="minorEastAsia" w:eastAsiaTheme="minorEastAsia" w:hAnsiTheme="minorEastAsia" w:cs="宋体"/>
          <w:b/>
          <w:bCs/>
          <w:kern w:val="0"/>
          <w:sz w:val="24"/>
          <w:szCs w:val="24"/>
          <w:lang w:val="en-CA"/>
        </w:rPr>
      </w:pPr>
    </w:p>
    <w:p w14:paraId="5825A44D" w14:textId="52F5C073" w:rsidR="00EA67A7" w:rsidRDefault="009C6045">
      <w:pPr>
        <w:jc w:val="left"/>
        <w:rPr>
          <w:rFonts w:ascii="Calibri" w:eastAsia="宋体" w:hAnsi="Courier New" w:cs="Courier New"/>
          <w:b/>
          <w:szCs w:val="21"/>
          <w:highlight w:val="yellow"/>
        </w:rPr>
      </w:pPr>
      <w:r>
        <w:rPr>
          <w:rFonts w:ascii="Calibri" w:eastAsia="宋体" w:hAnsi="Courier New" w:cs="Courier New" w:hint="eastAsia"/>
          <w:b/>
          <w:szCs w:val="21"/>
          <w:highlight w:val="yellow"/>
        </w:rPr>
        <w:t>具体项目内容、课程设计、授课教师介绍与项目时间安排详见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附件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1</w:t>
      </w:r>
    </w:p>
    <w:p w14:paraId="6C382CE6" w14:textId="77777777" w:rsidR="00EA67A7" w:rsidRDefault="009C6045">
      <w:pPr>
        <w:jc w:val="left"/>
        <w:rPr>
          <w:rFonts w:ascii="Calibri" w:eastAsia="宋体" w:hAnsi="Courier New" w:cs="Courier New"/>
          <w:b/>
          <w:szCs w:val="21"/>
          <w:highlight w:val="yellow"/>
        </w:rPr>
      </w:pPr>
      <w:r>
        <w:rPr>
          <w:rFonts w:ascii="Calibri" w:eastAsia="宋体" w:hAnsi="Courier New" w:cs="Courier New" w:hint="eastAsia"/>
          <w:b/>
          <w:szCs w:val="21"/>
          <w:highlight w:val="yellow"/>
        </w:rPr>
        <w:t>申请</w:t>
      </w:r>
      <w:r>
        <w:rPr>
          <w:rFonts w:ascii="Calibri" w:eastAsia="宋体" w:hAnsi="Courier New" w:cs="Courier New"/>
          <w:b/>
          <w:szCs w:val="21"/>
          <w:highlight w:val="yellow"/>
        </w:rPr>
        <w:t>课程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学生的</w:t>
      </w:r>
      <w:r>
        <w:rPr>
          <w:rFonts w:ascii="Calibri" w:eastAsia="宋体" w:hAnsi="Courier New" w:cs="Courier New"/>
          <w:b/>
          <w:szCs w:val="21"/>
          <w:highlight w:val="yellow"/>
        </w:rPr>
        <w:t>具体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学术及语言</w:t>
      </w:r>
      <w:r>
        <w:rPr>
          <w:rFonts w:ascii="Calibri" w:eastAsia="宋体" w:hAnsi="Courier New" w:cs="Courier New"/>
          <w:b/>
          <w:szCs w:val="21"/>
          <w:highlight w:val="yellow"/>
        </w:rPr>
        <w:t>要求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及申请流程</w:t>
      </w:r>
      <w:r>
        <w:rPr>
          <w:rFonts w:ascii="Calibri" w:eastAsia="宋体" w:hAnsi="Courier New" w:cs="Courier New"/>
          <w:b/>
          <w:szCs w:val="21"/>
          <w:highlight w:val="yellow"/>
        </w:rPr>
        <w:t>请</w:t>
      </w:r>
      <w:r>
        <w:rPr>
          <w:rFonts w:ascii="Calibri" w:eastAsia="宋体" w:hAnsi="Courier New" w:cs="Courier New" w:hint="eastAsia"/>
          <w:b/>
          <w:szCs w:val="21"/>
          <w:highlight w:val="yellow"/>
        </w:rPr>
        <w:t>仔细阅读</w:t>
      </w:r>
      <w:r>
        <w:rPr>
          <w:rFonts w:ascii="Calibri" w:eastAsia="宋体" w:hAnsi="Courier New" w:cs="Courier New"/>
          <w:b/>
          <w:szCs w:val="21"/>
          <w:highlight w:val="yellow"/>
        </w:rPr>
        <w:t>附件</w:t>
      </w:r>
      <w:r>
        <w:rPr>
          <w:rFonts w:ascii="Calibri" w:eastAsia="宋体" w:hAnsi="Courier New" w:cs="Courier New"/>
          <w:b/>
          <w:szCs w:val="21"/>
          <w:highlight w:val="yellow"/>
        </w:rPr>
        <w:t>1</w:t>
      </w:r>
    </w:p>
    <w:p w14:paraId="3CA7F011" w14:textId="77777777" w:rsidR="00EA67A7" w:rsidRDefault="00EA67A7">
      <w:pPr>
        <w:pStyle w:val="a3"/>
        <w:rPr>
          <w:rFonts w:asciiTheme="minorEastAsia" w:eastAsiaTheme="minorEastAsia" w:hAnsiTheme="minorEastAsia" w:cs="宋体"/>
          <w:kern w:val="0"/>
          <w:sz w:val="24"/>
          <w:szCs w:val="24"/>
          <w:lang w:val="en-CA"/>
        </w:rPr>
      </w:pPr>
    </w:p>
    <w:p w14:paraId="0B2A7BB7" w14:textId="77777777" w:rsidR="00EA67A7" w:rsidRPr="00700F61" w:rsidRDefault="009C6045">
      <w:pPr>
        <w:widowControl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、申请资格与条件</w:t>
      </w:r>
    </w:p>
    <w:p w14:paraId="3C87558E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1. 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申请人目前应为我校在读的优秀全日制本科</w:t>
      </w:r>
      <w:r>
        <w:rPr>
          <w:rFonts w:ascii="宋体" w:eastAsia="宋体" w:hAnsi="宋体" w:cs="宋体" w:hint="eastAsia"/>
          <w:kern w:val="0"/>
          <w:sz w:val="24"/>
          <w:szCs w:val="24"/>
        </w:rPr>
        <w:t>大二及以上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专业可根据不同项目方向进行选择，具体详见附件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16FFEDCA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．政治素质好，坚持四项基本原则，热爱社会主义祖国，无违法违纪记录。</w:t>
      </w:r>
    </w:p>
    <w:p w14:paraId="3CF8F673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3. </w:t>
      </w:r>
      <w:r>
        <w:rPr>
          <w:rFonts w:ascii="宋体" w:eastAsia="宋体" w:hAnsi="宋体" w:cs="宋体" w:hint="eastAsia"/>
          <w:kern w:val="0"/>
          <w:sz w:val="24"/>
          <w:szCs w:val="24"/>
        </w:rPr>
        <w:t>学习成绩优异，具有较强的、扎实的专业理论基础和实践能力，平均绩点达到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2.</w:t>
      </w: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以上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建议</w:t>
      </w:r>
      <w:r>
        <w:rPr>
          <w:rFonts w:ascii="宋体" w:eastAsia="宋体" w:hAnsi="宋体" w:cs="宋体" w:hint="eastAsia"/>
          <w:kern w:val="0"/>
          <w:sz w:val="24"/>
          <w:szCs w:val="24"/>
          <w:lang w:val="en-CA"/>
        </w:rPr>
        <w:t>GPA 3.0</w:t>
      </w:r>
      <w:r>
        <w:rPr>
          <w:rFonts w:ascii="宋体" w:eastAsia="宋体" w:hAnsi="宋体" w:cs="宋体" w:hint="eastAsia"/>
          <w:kern w:val="0"/>
          <w:sz w:val="24"/>
          <w:szCs w:val="24"/>
          <w:lang w:val="en-CA"/>
        </w:rPr>
        <w:t>以上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436F0B1C" w14:textId="052DED91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4</w:t>
      </w:r>
      <w:r>
        <w:rPr>
          <w:rFonts w:ascii="Calibri" w:eastAsia="宋体" w:hAnsi="Calibri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英语水平证明（托福、雅思、大学四六级或国内学校出具的官方信函）</w:t>
      </w:r>
      <w:r w:rsidR="00773D4A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39C57C6E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5. </w:t>
      </w:r>
      <w:r>
        <w:rPr>
          <w:rFonts w:ascii="宋体" w:eastAsia="宋体" w:hAnsi="宋体" w:cs="宋体" w:hint="eastAsia"/>
          <w:kern w:val="0"/>
          <w:sz w:val="24"/>
          <w:szCs w:val="24"/>
        </w:rPr>
        <w:t>身心健康，能圆满完成学习任务。</w:t>
      </w:r>
    </w:p>
    <w:p w14:paraId="0C30851D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6</w:t>
      </w:r>
      <w:r>
        <w:rPr>
          <w:rFonts w:ascii="Calibri" w:eastAsia="宋体" w:hAnsi="Calibri" w:cs="宋体" w:hint="eastAsia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已交足我校规定的各项费用，具有一定的经济能力。</w:t>
      </w:r>
    </w:p>
    <w:p w14:paraId="53D03BD0" w14:textId="77777777" w:rsidR="00EA67A7" w:rsidRDefault="00EA67A7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6AC20B4" w14:textId="77777777" w:rsidR="00EA67A7" w:rsidRPr="00700F61" w:rsidRDefault="009C6045">
      <w:pPr>
        <w:widowControl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四</w:t>
      </w: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、选拔程序</w:t>
      </w:r>
    </w:p>
    <w:p w14:paraId="305E5BC4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．采取“个人申请、学院推荐、专家评审、择优录取”的方式进行选拔。</w:t>
      </w:r>
    </w:p>
    <w:p w14:paraId="4D328D7C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．申请人应向所在学院提交以下材料：</w:t>
      </w:r>
    </w:p>
    <w:p w14:paraId="3DEEBBB5" w14:textId="77777777" w:rsidR="00EA67A7" w:rsidRDefault="009C6045">
      <w:pPr>
        <w:widowControl/>
        <w:spacing w:line="44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）《南京邮电大学本科生海外访学申请表》（附件</w:t>
      </w:r>
      <w:r>
        <w:rPr>
          <w:rFonts w:ascii="Calibri" w:eastAsia="宋体" w:hAnsi="Calibri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）；</w:t>
      </w:r>
    </w:p>
    <w:p w14:paraId="461999D1" w14:textId="77777777" w:rsidR="00EA67A7" w:rsidRDefault="009C6045">
      <w:pPr>
        <w:widowControl/>
        <w:spacing w:line="44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）英语水平证明及复印件；</w:t>
      </w:r>
    </w:p>
    <w:p w14:paraId="5812DC48" w14:textId="77777777" w:rsidR="00EA67A7" w:rsidRDefault="009C6045">
      <w:pPr>
        <w:widowControl/>
        <w:spacing w:line="44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）学术科研能力证明材料及复印件（包括论文发表、参与竞赛、项目等）；</w:t>
      </w:r>
    </w:p>
    <w:p w14:paraId="466EF3CB" w14:textId="77777777" w:rsidR="00EA67A7" w:rsidRDefault="009C6045">
      <w:pPr>
        <w:widowControl/>
        <w:spacing w:line="440" w:lineRule="atLeast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</w:t>
      </w:r>
      <w:r>
        <w:rPr>
          <w:rFonts w:ascii="Calibri" w:eastAsia="宋体" w:hAnsi="Calibri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）获奖证书及复印件。</w:t>
      </w:r>
    </w:p>
    <w:p w14:paraId="246CB616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．</w:t>
      </w:r>
      <w:bookmarkStart w:id="1" w:name="OLE_LINK3"/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申请人</w:t>
      </w:r>
      <w:r>
        <w:rPr>
          <w:rFonts w:ascii="宋体" w:eastAsia="宋体" w:hAnsi="宋体" w:cs="宋体" w:hint="eastAsia"/>
          <w:kern w:val="0"/>
          <w:sz w:val="24"/>
          <w:szCs w:val="24"/>
        </w:rPr>
        <w:t>请于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23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前</w:t>
      </w:r>
      <w:r>
        <w:rPr>
          <w:rFonts w:ascii="宋体" w:eastAsia="宋体" w:hAnsi="宋体" w:cs="宋体" w:hint="eastAsia"/>
          <w:kern w:val="0"/>
          <w:sz w:val="24"/>
          <w:szCs w:val="24"/>
        </w:rPr>
        <w:t>将申请材料交至各学院，</w:t>
      </w:r>
      <w:bookmarkEnd w:id="1"/>
      <w:r>
        <w:rPr>
          <w:rFonts w:ascii="宋体" w:eastAsia="宋体" w:hAnsi="宋体" w:cs="宋体" w:hint="eastAsia"/>
          <w:kern w:val="0"/>
          <w:sz w:val="24"/>
          <w:szCs w:val="24"/>
        </w:rPr>
        <w:t>申请人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学院根据申请资格与条件对申请人进行筛选、排序并填写《南京邮电大学本科生海外访学申请汇总表》（附件</w:t>
      </w:r>
      <w:r>
        <w:rPr>
          <w:rFonts w:ascii="Calibri" w:eastAsia="宋体" w:hAnsi="Calibri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），于</w:t>
      </w: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10</w:t>
      </w: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月</w:t>
      </w:r>
      <w:r>
        <w:rPr>
          <w:rFonts w:ascii="Calibri" w:eastAsia="宋体" w:hAnsi="Calibri" w:cs="宋体" w:hint="eastAsia"/>
          <w:b/>
          <w:bCs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前将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候选人申请材料及汇总表交至教务处实践教学科，逾期不递交材料的学院作自动放弃处理。</w:t>
      </w:r>
    </w:p>
    <w:p w14:paraId="35C6AA13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．教务处会同相关部门，共同组织专家进行评审，确定我校</w:t>
      </w:r>
      <w:r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>
        <w:rPr>
          <w:rFonts w:ascii="宋体" w:eastAsia="宋体" w:hAnsi="宋体" w:cs="宋体" w:hint="eastAsia"/>
          <w:kern w:val="0"/>
          <w:sz w:val="24"/>
          <w:szCs w:val="24"/>
        </w:rPr>
        <w:t>访学</w:t>
      </w:r>
      <w:r>
        <w:rPr>
          <w:rFonts w:ascii="宋体" w:eastAsia="宋体" w:hAnsi="宋体" w:cs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cs="宋体" w:hint="eastAsia"/>
          <w:kern w:val="0"/>
          <w:sz w:val="24"/>
          <w:szCs w:val="24"/>
        </w:rPr>
        <w:t>的</w:t>
      </w:r>
      <w:r>
        <w:rPr>
          <w:rFonts w:ascii="宋体" w:eastAsia="宋体" w:hAnsi="宋体" w:cs="宋体" w:hint="eastAsia"/>
          <w:kern w:val="0"/>
          <w:sz w:val="24"/>
          <w:szCs w:val="24"/>
        </w:rPr>
        <w:t>学生名单，并进行公示。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834"/>
      </w:tblGrid>
      <w:tr w:rsidR="00EA67A7" w14:paraId="668330ED" w14:textId="77777777">
        <w:trPr>
          <w:tblHeader/>
        </w:trPr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655400E9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</w:rPr>
              <w:t>项目方向</w:t>
            </w:r>
          </w:p>
        </w:tc>
        <w:tc>
          <w:tcPr>
            <w:tcW w:w="2693" w:type="dxa"/>
            <w:vAlign w:val="center"/>
          </w:tcPr>
          <w:p w14:paraId="62B3D139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</w:rPr>
              <w:t>语言要求</w:t>
            </w:r>
          </w:p>
        </w:tc>
        <w:tc>
          <w:tcPr>
            <w:tcW w:w="1985" w:type="dxa"/>
            <w:vAlign w:val="center"/>
          </w:tcPr>
          <w:p w14:paraId="276E5BBD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</w:rPr>
              <w:t>开学日期</w:t>
            </w:r>
          </w:p>
        </w:tc>
        <w:tc>
          <w:tcPr>
            <w:tcW w:w="2834" w:type="dxa"/>
            <w:vAlign w:val="center"/>
          </w:tcPr>
          <w:p w14:paraId="4FC227F1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</w:rPr>
              <w:t>费用</w:t>
            </w:r>
          </w:p>
        </w:tc>
      </w:tr>
      <w:tr w:rsidR="00EA67A7" w14:paraId="337AEF6F" w14:textId="77777777">
        <w:tc>
          <w:tcPr>
            <w:tcW w:w="1838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14:paraId="51F8CEE9" w14:textId="77777777" w:rsidR="00EA67A7" w:rsidRDefault="009C6045">
            <w:pPr>
              <w:rPr>
                <w:rFonts w:ascii="Segoe UI" w:eastAsia="宋体" w:hAnsi="Segoe UI" w:cs="Segoe UI"/>
                <w:color w:val="404040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</w:rPr>
              <w:t>ASAP</w:t>
            </w:r>
            <w:r>
              <w:rPr>
                <w:rFonts w:ascii="Segoe UI" w:eastAsia="宋体" w:hAnsi="Segoe UI" w:cs="Segoe UI"/>
                <w:b/>
                <w:bCs/>
                <w:color w:val="404040"/>
              </w:rPr>
              <w:t>通用方向</w:t>
            </w:r>
          </w:p>
        </w:tc>
        <w:tc>
          <w:tcPr>
            <w:tcW w:w="2693" w:type="dxa"/>
            <w:vAlign w:val="center"/>
          </w:tcPr>
          <w:p w14:paraId="548B44D1" w14:textId="77777777" w:rsidR="00EA67A7" w:rsidRDefault="009C6045">
            <w:pPr>
              <w:rPr>
                <w:rFonts w:ascii="Segoe UI" w:eastAsia="宋体" w:hAnsi="Segoe UI" w:cs="Segoe UI"/>
                <w:color w:val="404040" w:themeColor="text1" w:themeTint="BF"/>
              </w:rPr>
            </w:pPr>
            <w:r>
              <w:rPr>
                <w:rFonts w:ascii="Segoe UI" w:eastAsia="宋体" w:hAnsi="Segoe UI" w:cs="Segoe UI"/>
                <w:color w:val="404040" w:themeColor="text1" w:themeTint="BF"/>
              </w:rPr>
              <w:t>托福</w:t>
            </w:r>
            <w:r>
              <w:rPr>
                <w:rFonts w:ascii="Segoe UI" w:eastAsia="宋体" w:hAnsi="Segoe UI" w:cs="Segoe UI"/>
                <w:color w:val="404040" w:themeColor="text1" w:themeTint="BF"/>
              </w:rPr>
              <w:t>80/</w:t>
            </w:r>
            <w:r>
              <w:rPr>
                <w:rFonts w:ascii="Segoe UI" w:eastAsia="宋体" w:hAnsi="Segoe UI" w:cs="Segoe UI"/>
                <w:color w:val="404040" w:themeColor="text1" w:themeTint="BF"/>
              </w:rPr>
              <w:t>雅思</w:t>
            </w:r>
            <w:r>
              <w:rPr>
                <w:rFonts w:ascii="Segoe UI" w:eastAsia="宋体" w:hAnsi="Segoe UI" w:cs="Segoe UI"/>
                <w:color w:val="404040" w:themeColor="text1" w:themeTint="BF"/>
              </w:rPr>
              <w:t>6.5</w:t>
            </w:r>
          </w:p>
          <w:p w14:paraId="60C82B77" w14:textId="77777777" w:rsidR="00EA67A7" w:rsidRDefault="009C6045">
            <w:pPr>
              <w:rPr>
                <w:rFonts w:ascii="Segoe UI" w:eastAsia="宋体" w:hAnsi="Segoe UI" w:cs="Segoe UI"/>
                <w:color w:val="404040" w:themeColor="text1" w:themeTint="BF"/>
              </w:rPr>
            </w:pPr>
            <w:r>
              <w:rPr>
                <w:rFonts w:ascii="Segoe UI" w:eastAsia="宋体" w:hAnsi="Segoe UI" w:cs="Segoe UI"/>
                <w:color w:val="404040" w:themeColor="text1" w:themeTint="BF"/>
              </w:rPr>
              <w:t>Duolingo 115</w:t>
            </w:r>
          </w:p>
          <w:p w14:paraId="5126A02D" w14:textId="77777777" w:rsidR="00EA67A7" w:rsidRDefault="009C6045">
            <w:pPr>
              <w:rPr>
                <w:rFonts w:ascii="Segoe UI" w:eastAsia="宋体" w:hAnsi="Segoe UI" w:cs="Segoe UI"/>
                <w:color w:val="404040"/>
              </w:rPr>
            </w:pPr>
            <w:r>
              <w:rPr>
                <w:rFonts w:ascii="Segoe UI" w:eastAsia="宋体" w:hAnsi="Segoe UI" w:cs="Segoe UI"/>
                <w:color w:val="404040" w:themeColor="text1" w:themeTint="BF"/>
              </w:rPr>
              <w:t>CET-4 493+/CET-6 450</w:t>
            </w:r>
          </w:p>
        </w:tc>
        <w:tc>
          <w:tcPr>
            <w:tcW w:w="1985" w:type="dxa"/>
            <w:vAlign w:val="center"/>
          </w:tcPr>
          <w:p w14:paraId="79C00AA4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  <w:t>1</w:t>
            </w:r>
            <w: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  <w:t>月</w:t>
            </w:r>
            <w:r>
              <w:rPr>
                <w:rFonts w:ascii="Segoe UI" w:eastAsia="宋体" w:hAnsi="Segoe UI" w:cs="Segoe UI" w:hint="eastAsia"/>
                <w:b/>
                <w:bCs/>
                <w:color w:val="404040"/>
                <w:highlight w:val="yellow"/>
              </w:rPr>
              <w:t>5</w:t>
            </w:r>
            <w:r>
              <w:rPr>
                <w:rFonts w:ascii="Segoe UI" w:eastAsia="宋体" w:hAnsi="Segoe UI" w:cs="Segoe UI" w:hint="eastAsia"/>
                <w:b/>
                <w:bCs/>
                <w:color w:val="404040"/>
                <w:highlight w:val="yellow"/>
              </w:rPr>
              <w:t>日</w:t>
            </w:r>
          </w:p>
          <w:p w14:paraId="5E8B4579" w14:textId="77777777" w:rsidR="00EA67A7" w:rsidRDefault="009C6045">
            <w:pP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</w:pPr>
            <w: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  <w:t>3</w:t>
            </w:r>
            <w:r>
              <w:rPr>
                <w:rFonts w:ascii="Segoe UI" w:eastAsia="宋体" w:hAnsi="Segoe UI" w:cs="Segoe UI"/>
                <w:b/>
                <w:bCs/>
                <w:color w:val="404040"/>
                <w:highlight w:val="yellow"/>
              </w:rPr>
              <w:t>月</w:t>
            </w:r>
            <w:r>
              <w:rPr>
                <w:rFonts w:ascii="Segoe UI" w:eastAsia="宋体" w:hAnsi="Segoe UI" w:cs="Segoe UI" w:hint="eastAsia"/>
                <w:b/>
                <w:bCs/>
                <w:color w:val="404040"/>
                <w:highlight w:val="yellow"/>
              </w:rPr>
              <w:t>25</w:t>
            </w:r>
            <w:r>
              <w:rPr>
                <w:rFonts w:ascii="Segoe UI" w:eastAsia="宋体" w:hAnsi="Segoe UI" w:cs="Segoe UI" w:hint="eastAsia"/>
                <w:b/>
                <w:bCs/>
                <w:color w:val="404040"/>
                <w:highlight w:val="yellow"/>
              </w:rPr>
              <w:t>日</w:t>
            </w:r>
          </w:p>
          <w:p w14:paraId="51DBCEE4" w14:textId="77777777" w:rsidR="00EA67A7" w:rsidRDefault="009C6045">
            <w:pPr>
              <w:rPr>
                <w:rFonts w:ascii="Segoe UI" w:eastAsia="宋体" w:hAnsi="Segoe UI" w:cs="Segoe UI"/>
                <w:color w:val="404040"/>
              </w:rPr>
            </w:pPr>
            <w:r>
              <w:rPr>
                <w:rFonts w:ascii="Segoe UI" w:eastAsia="宋体" w:hAnsi="Segoe UI" w:cs="Segoe UI"/>
                <w:color w:val="404040"/>
              </w:rPr>
              <w:t>9</w:t>
            </w:r>
            <w:r>
              <w:rPr>
                <w:rFonts w:ascii="Segoe UI" w:eastAsia="宋体" w:hAnsi="Segoe UI" w:cs="Segoe UI"/>
                <w:color w:val="404040"/>
              </w:rPr>
              <w:t>月</w:t>
            </w:r>
            <w:r>
              <w:rPr>
                <w:rFonts w:ascii="Segoe UI" w:eastAsia="宋体" w:hAnsi="Segoe UI" w:cs="Segoe UI" w:hint="eastAsia"/>
                <w:color w:val="404040"/>
              </w:rPr>
              <w:t>17</w:t>
            </w:r>
            <w:r>
              <w:rPr>
                <w:rFonts w:ascii="Segoe UI" w:eastAsia="宋体" w:hAnsi="Segoe UI" w:cs="Segoe UI" w:hint="eastAsia"/>
                <w:color w:val="404040"/>
              </w:rPr>
              <w:t>日</w:t>
            </w:r>
          </w:p>
        </w:tc>
        <w:tc>
          <w:tcPr>
            <w:tcW w:w="2834" w:type="dxa"/>
            <w:vAlign w:val="center"/>
          </w:tcPr>
          <w:p w14:paraId="789CD3EC" w14:textId="77777777" w:rsidR="00EA67A7" w:rsidRDefault="009C6045">
            <w:pPr>
              <w:rPr>
                <w:rFonts w:ascii="Segoe UI" w:eastAsia="宋体" w:hAnsi="Segoe UI" w:cs="Segoe UI"/>
                <w:color w:val="404040"/>
              </w:rPr>
            </w:pPr>
            <w:r>
              <w:rPr>
                <w:rFonts w:ascii="Segoe UI" w:eastAsia="宋体" w:hAnsi="Segoe UI" w:cs="Segoe UI"/>
                <w:color w:val="404040"/>
              </w:rPr>
              <w:t>$8,200/</w:t>
            </w:r>
            <w:r>
              <w:rPr>
                <w:rFonts w:ascii="Segoe UI" w:eastAsia="宋体" w:hAnsi="Segoe UI" w:cs="Segoe UI"/>
                <w:color w:val="404040"/>
              </w:rPr>
              <w:t>学期（常规课程）</w:t>
            </w:r>
            <w:r>
              <w:rPr>
                <w:rFonts w:ascii="Segoe UI" w:eastAsia="宋体" w:hAnsi="Segoe UI" w:cs="Segoe UI"/>
                <w:color w:val="404040"/>
              </w:rPr>
              <w:br/>
              <w:t>$11,000/</w:t>
            </w:r>
            <w:r>
              <w:rPr>
                <w:rFonts w:ascii="Segoe UI" w:eastAsia="宋体" w:hAnsi="Segoe UI" w:cs="Segoe UI"/>
                <w:color w:val="404040"/>
              </w:rPr>
              <w:t>学期（工程</w:t>
            </w:r>
            <w:r>
              <w:rPr>
                <w:rFonts w:ascii="Segoe UI" w:eastAsia="宋体" w:hAnsi="Segoe UI" w:cs="Segoe UI"/>
                <w:color w:val="404040"/>
              </w:rPr>
              <w:t>/</w:t>
            </w:r>
            <w:r>
              <w:rPr>
                <w:rFonts w:ascii="Segoe UI" w:eastAsia="宋体" w:hAnsi="Segoe UI" w:cs="Segoe UI"/>
                <w:color w:val="404040"/>
              </w:rPr>
              <w:t>人文</w:t>
            </w:r>
            <w:r>
              <w:rPr>
                <w:rFonts w:ascii="Segoe UI" w:eastAsia="宋体" w:hAnsi="Segoe UI" w:cs="Segoe UI" w:hint="eastAsia"/>
                <w:color w:val="404040"/>
              </w:rPr>
              <w:t>专业</w:t>
            </w:r>
            <w:r>
              <w:rPr>
                <w:rFonts w:ascii="Segoe UI" w:eastAsia="宋体" w:hAnsi="Segoe UI" w:cs="Segoe UI"/>
                <w:b/>
                <w:bCs/>
                <w:color w:val="404040"/>
              </w:rPr>
              <w:t>优先</w:t>
            </w:r>
            <w:r>
              <w:rPr>
                <w:rFonts w:ascii="Segoe UI" w:eastAsia="宋体" w:hAnsi="Segoe UI" w:cs="Segoe UI" w:hint="eastAsia"/>
                <w:b/>
                <w:bCs/>
                <w:color w:val="404040"/>
              </w:rPr>
              <w:t>选课</w:t>
            </w:r>
            <w:r>
              <w:rPr>
                <w:rFonts w:ascii="Segoe UI" w:eastAsia="宋体" w:hAnsi="Segoe UI" w:cs="Segoe UI"/>
                <w:color w:val="404040"/>
              </w:rPr>
              <w:t>）</w:t>
            </w:r>
          </w:p>
        </w:tc>
      </w:tr>
    </w:tbl>
    <w:p w14:paraId="2630A67F" w14:textId="250A8C43" w:rsidR="00EA67A7" w:rsidRDefault="009C6045" w:rsidP="004A1EFA">
      <w:pPr>
        <w:widowControl/>
        <w:spacing w:line="440" w:lineRule="atLeast"/>
        <w:jc w:val="left"/>
        <w:rPr>
          <w:rFonts w:ascii="宋体" w:eastAsia="宋体" w:hAnsi="宋体" w:cs="宋体"/>
          <w:b/>
          <w:bCs/>
          <w:kern w:val="0"/>
          <w:highlight w:val="yellow"/>
        </w:rPr>
      </w:pPr>
      <w:r w:rsidRPr="00700F6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费用情况</w:t>
      </w:r>
      <w:r w:rsidRPr="00700F61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700F61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700F61">
        <w:rPr>
          <w:rFonts w:ascii="宋体" w:eastAsia="宋体" w:hAnsi="宋体" w:cs="宋体" w:hint="eastAsia"/>
          <w:kern w:val="0"/>
          <w:sz w:val="24"/>
          <w:szCs w:val="24"/>
        </w:rPr>
        <w:t>参考</w:t>
      </w:r>
      <w:r w:rsidRPr="00700F61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14:paraId="72C429EC" w14:textId="574347CB" w:rsidR="00EA67A7" w:rsidRDefault="009C6045">
      <w:pPr>
        <w:pStyle w:val="a4"/>
        <w:shd w:val="clear" w:color="auto" w:fill="FFFFFF"/>
        <w:spacing w:before="0" w:beforeAutospacing="0" w:after="0" w:afterAutospacing="0"/>
        <w:rPr>
          <w:rFonts w:ascii="宋体" w:eastAsia="宋体" w:hAnsi="宋体" w:cs="宋体"/>
          <w:b/>
          <w:bCs/>
          <w:kern w:val="0"/>
          <w:highlight w:val="yellow"/>
        </w:rPr>
      </w:pPr>
      <w:r>
        <w:rPr>
          <w:rFonts w:ascii="宋体" w:eastAsia="宋体" w:hAnsi="宋体" w:cs="宋体" w:hint="eastAsia"/>
          <w:b/>
          <w:bCs/>
          <w:kern w:val="0"/>
          <w:highlight w:val="yellow"/>
        </w:rPr>
        <w:t>本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次申请时间段为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2026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年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1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月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-3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月或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3</w:t>
      </w:r>
      <w:r w:rsidR="004A1EFA">
        <w:rPr>
          <w:rFonts w:ascii="宋体" w:eastAsia="宋体" w:hAnsi="宋体" w:cs="宋体" w:hint="eastAsia"/>
          <w:b/>
          <w:bCs/>
          <w:kern w:val="0"/>
          <w:highlight w:val="yellow"/>
        </w:rPr>
        <w:t>月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-6</w:t>
      </w:r>
      <w:r w:rsidR="004A1EFA">
        <w:rPr>
          <w:rFonts w:ascii="宋体" w:eastAsia="宋体" w:hAnsi="宋体" w:cs="宋体" w:hint="eastAsia"/>
          <w:b/>
          <w:bCs/>
          <w:kern w:val="0"/>
          <w:highlight w:val="yellow"/>
        </w:rPr>
        <w:t>月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的学期时段</w:t>
      </w:r>
    </w:p>
    <w:p w14:paraId="511B213A" w14:textId="77777777" w:rsidR="00EA67A7" w:rsidRDefault="009C6045">
      <w:pPr>
        <w:pStyle w:val="a4"/>
        <w:shd w:val="clear" w:color="auto" w:fill="FFFFFF"/>
        <w:spacing w:before="0" w:beforeAutospacing="0" w:after="0" w:afterAutospacing="0"/>
        <w:rPr>
          <w:rFonts w:ascii="宋体" w:eastAsia="宋体" w:hAnsi="宋体" w:cs="宋体"/>
          <w:b/>
          <w:bCs/>
          <w:kern w:val="0"/>
          <w:highlight w:val="yellow"/>
        </w:rPr>
      </w:pPr>
      <w:r>
        <w:rPr>
          <w:rFonts w:ascii="宋体" w:eastAsia="宋体" w:hAnsi="宋体" w:cs="宋体" w:hint="eastAsia"/>
          <w:b/>
          <w:bCs/>
          <w:kern w:val="0"/>
          <w:highlight w:val="yellow"/>
        </w:rPr>
        <w:t>具体费用情况请咨询项目方负责人，见附件</w:t>
      </w:r>
      <w:r>
        <w:rPr>
          <w:rFonts w:ascii="宋体" w:eastAsia="宋体" w:hAnsi="宋体" w:cs="宋体" w:hint="eastAsia"/>
          <w:b/>
          <w:bCs/>
          <w:kern w:val="0"/>
          <w:highlight w:val="yellow"/>
        </w:rPr>
        <w:t>1</w:t>
      </w:r>
    </w:p>
    <w:p w14:paraId="67E22C0A" w14:textId="77777777" w:rsidR="00EA67A7" w:rsidRDefault="00EA67A7">
      <w:pPr>
        <w:widowControl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</w:p>
    <w:p w14:paraId="105276BD" w14:textId="7F3128A3" w:rsidR="00EA67A7" w:rsidRPr="004A1EFA" w:rsidRDefault="004A1EFA">
      <w:pPr>
        <w:widowControl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</w:t>
      </w:r>
      <w:r w:rsidR="009C6045" w:rsidRPr="004A1EFA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、其他</w:t>
      </w:r>
    </w:p>
    <w:p w14:paraId="017697A7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1. 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联系人：</w:t>
      </w:r>
    </w:p>
    <w:p w14:paraId="53336056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国际合作交流处：李老师</w:t>
      </w:r>
      <w:r>
        <w:rPr>
          <w:rFonts w:ascii="Calibri" w:eastAsia="宋体" w:hAnsi="Calibri" w:cs="宋体"/>
          <w:kern w:val="0"/>
          <w:sz w:val="24"/>
          <w:szCs w:val="24"/>
        </w:rPr>
        <w:t> </w:t>
      </w:r>
      <w:r>
        <w:rPr>
          <w:rFonts w:ascii="Arial" w:eastAsia="宋体" w:hAnsi="Arial" w:cs="Arial" w:hint="eastAsia"/>
          <w:color w:val="000000"/>
          <w:szCs w:val="21"/>
        </w:rPr>
        <w:t>85866716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14:paraId="28D589F8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教务处：于老师</w:t>
      </w:r>
      <w:r>
        <w:rPr>
          <w:rFonts w:ascii="Calibri" w:eastAsia="宋体" w:hAnsi="Calibri" w:cs="宋体"/>
          <w:kern w:val="0"/>
          <w:sz w:val="24"/>
          <w:szCs w:val="24"/>
        </w:rPr>
        <w:t>85866258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0D27B98E" w14:textId="77777777" w:rsidR="00EA67A7" w:rsidRDefault="009C6045">
      <w:pPr>
        <w:widowControl/>
        <w:spacing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2. </w:t>
      </w:r>
      <w:r>
        <w:rPr>
          <w:rFonts w:ascii="宋体" w:eastAsia="宋体" w:hAnsi="宋体" w:cs="宋体" w:hint="eastAsia"/>
          <w:kern w:val="0"/>
          <w:sz w:val="24"/>
          <w:szCs w:val="24"/>
        </w:rPr>
        <w:t>被录取学生需交纳材料，另行通知。</w:t>
      </w:r>
    </w:p>
    <w:p w14:paraId="48333F18" w14:textId="77777777" w:rsidR="00EA67A7" w:rsidRDefault="00EA67A7">
      <w:pPr>
        <w:widowControl/>
        <w:spacing w:line="440" w:lineRule="atLeast"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B5186C1" w14:textId="2C0B47AD" w:rsidR="00EA67A7" w:rsidRDefault="00773D4A">
      <w:pPr>
        <w:widowControl/>
        <w:spacing w:line="440" w:lineRule="atLeast"/>
        <w:ind w:firstLineChars="1800" w:firstLine="43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教务处</w:t>
      </w:r>
    </w:p>
    <w:p w14:paraId="0497E42B" w14:textId="06E3E13B" w:rsidR="00EA67A7" w:rsidRDefault="009C6045">
      <w:pPr>
        <w:widowControl/>
        <w:spacing w:line="440" w:lineRule="atLeast"/>
        <w:ind w:firstLineChars="2250" w:firstLine="5400"/>
        <w:jc w:val="left"/>
        <w:rPr>
          <w:rFonts w:ascii="宋体" w:eastAsia="宋体" w:hAnsi="宋体" w:cs="宋体"/>
          <w:b/>
          <w:bCs/>
          <w:color w:val="0673C8"/>
          <w:kern w:val="0"/>
          <w:sz w:val="30"/>
        </w:rPr>
      </w:pPr>
      <w:r>
        <w:rPr>
          <w:rFonts w:ascii="Calibri" w:eastAsia="宋体" w:hAnsi="Calibri" w:cs="宋体"/>
          <w:kern w:val="0"/>
          <w:sz w:val="24"/>
          <w:szCs w:val="24"/>
        </w:rPr>
        <w:t>20</w:t>
      </w:r>
      <w:r>
        <w:rPr>
          <w:rFonts w:ascii="Calibri" w:eastAsia="宋体" w:hAnsi="Calibri" w:cs="宋体" w:hint="eastAsia"/>
          <w:kern w:val="0"/>
          <w:sz w:val="24"/>
          <w:szCs w:val="24"/>
        </w:rPr>
        <w:t>25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Calibri" w:eastAsia="宋体" w:hAnsi="Calibri" w:cs="宋体" w:hint="eastAsia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773D4A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773D4A">
        <w:rPr>
          <w:rFonts w:ascii="宋体" w:eastAsia="宋体" w:hAnsi="宋体" w:cs="宋体"/>
          <w:kern w:val="0"/>
          <w:sz w:val="24"/>
          <w:szCs w:val="24"/>
        </w:rPr>
        <w:t>3日</w:t>
      </w:r>
      <w:bookmarkStart w:id="2" w:name="_GoBack"/>
      <w:bookmarkEnd w:id="2"/>
    </w:p>
    <w:sectPr w:rsidR="00EA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F4FE8" w14:textId="77777777" w:rsidR="009C6045" w:rsidRDefault="009C6045" w:rsidP="00700F61">
      <w:r>
        <w:separator/>
      </w:r>
    </w:p>
  </w:endnote>
  <w:endnote w:type="continuationSeparator" w:id="0">
    <w:p w14:paraId="6826070D" w14:textId="77777777" w:rsidR="009C6045" w:rsidRDefault="009C6045" w:rsidP="0070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6919623-6DDA-4DAE-895A-FA3EEB2C7E7D}"/>
    <w:embedBold r:id="rId2" w:subsetted="1" w:fontKey="{A82104F3-7445-42AD-9E15-5C51072A8D8F}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3" w:subsetted="1" w:fontKey="{CB18C5A3-2CB4-4CF8-A231-6C245554F3BA}"/>
    <w:embedBold r:id="rId4" w:subsetted="1" w:fontKey="{FEB27C7E-896D-4A6C-9EFF-498EF4FD149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subsetted="1" w:fontKey="{127D5508-E4D8-44F1-BE71-3BB936C1D2FB}"/>
    <w:embedBold r:id="rId6" w:subsetted="1" w:fontKey="{CE02645B-EF1C-43DD-A665-4E1094561D8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2D62F" w14:textId="77777777" w:rsidR="009C6045" w:rsidRDefault="009C6045" w:rsidP="00700F61">
      <w:r>
        <w:separator/>
      </w:r>
    </w:p>
  </w:footnote>
  <w:footnote w:type="continuationSeparator" w:id="0">
    <w:p w14:paraId="28A46AAA" w14:textId="77777777" w:rsidR="009C6045" w:rsidRDefault="009C6045" w:rsidP="0070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F7E54"/>
    <w:multiLevelType w:val="multilevel"/>
    <w:tmpl w:val="138F7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F52A4F"/>
    <w:multiLevelType w:val="multilevel"/>
    <w:tmpl w:val="5EF52A4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mNhOWU1OTdkYmY5MjYwZTJhOGU1ODE3OGI1MTMifQ=="/>
    <w:docVar w:name="KSO_WPS_MARK_KEY" w:val="a58974e8-417a-4f14-9e0c-f8742882fcf7"/>
  </w:docVars>
  <w:rsids>
    <w:rsidRoot w:val="673041E5"/>
    <w:rsid w:val="00471835"/>
    <w:rsid w:val="004A1EFA"/>
    <w:rsid w:val="00700F61"/>
    <w:rsid w:val="00773D4A"/>
    <w:rsid w:val="009C6045"/>
    <w:rsid w:val="00EA67A7"/>
    <w:rsid w:val="00EF374F"/>
    <w:rsid w:val="04720599"/>
    <w:rsid w:val="058229D9"/>
    <w:rsid w:val="05B62994"/>
    <w:rsid w:val="05E75C70"/>
    <w:rsid w:val="0CA13233"/>
    <w:rsid w:val="0D852B51"/>
    <w:rsid w:val="13306C32"/>
    <w:rsid w:val="138B74B1"/>
    <w:rsid w:val="1CDC1744"/>
    <w:rsid w:val="1E6A3634"/>
    <w:rsid w:val="1F0931C9"/>
    <w:rsid w:val="217D0D56"/>
    <w:rsid w:val="25FB1F49"/>
    <w:rsid w:val="2F375037"/>
    <w:rsid w:val="33F4796C"/>
    <w:rsid w:val="35AF76E1"/>
    <w:rsid w:val="3E480B30"/>
    <w:rsid w:val="461B0C51"/>
    <w:rsid w:val="48B34C48"/>
    <w:rsid w:val="499A2DFD"/>
    <w:rsid w:val="552A1BC8"/>
    <w:rsid w:val="614E6EF1"/>
    <w:rsid w:val="64B06A31"/>
    <w:rsid w:val="673041E5"/>
    <w:rsid w:val="6CF41704"/>
    <w:rsid w:val="6DFE3435"/>
    <w:rsid w:val="6F173018"/>
    <w:rsid w:val="7D967DA2"/>
    <w:rsid w:val="7F5B0CFF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F97E05-F729-4C6D-BE4D-2F32F3D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pPr>
      <w:jc w:val="left"/>
    </w:pPr>
    <w:rPr>
      <w:rFonts w:ascii="Calibri" w:eastAsia="宋体" w:hAnsi="Courier New" w:cs="Courier New"/>
      <w:szCs w:val="21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normaltextrun">
    <w:name w:val="normaltextrun"/>
    <w:basedOn w:val="a0"/>
    <w:qFormat/>
  </w:style>
  <w:style w:type="paragraph" w:customStyle="1" w:styleId="contentpasted1">
    <w:name w:val="contentpasted1"/>
    <w:basedOn w:val="a"/>
    <w:uiPriority w:val="99"/>
    <w:semiHidden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contentpasted11">
    <w:name w:val="contentpasted11"/>
    <w:basedOn w:val="a0"/>
    <w:qFormat/>
  </w:style>
  <w:style w:type="character" w:customStyle="1" w:styleId="contentpasted3">
    <w:name w:val="contentpasted3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link w:val="Char"/>
    <w:rsid w:val="00700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700F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700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700F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5%85%AC%E7%AB%8B%E5%B8%B8%E6%98%A5%E8%97%A4/25228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348</Words>
  <Characters>1986</Characters>
  <Application>Microsoft Office Word</Application>
  <DocSecurity>0</DocSecurity>
  <Lines>16</Lines>
  <Paragraphs>4</Paragraphs>
  <ScaleCrop>false</ScaleCrop>
  <Company>P R C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李巍</dc:creator>
  <cp:lastModifiedBy>Windows User</cp:lastModifiedBy>
  <cp:revision>4</cp:revision>
  <dcterms:created xsi:type="dcterms:W3CDTF">2022-03-21T00:45:00Z</dcterms:created>
  <dcterms:modified xsi:type="dcterms:W3CDTF">2025-09-23T02:38:00Z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ED8B8BB882294EEE8014B0C3368FDA6B_13</vt:lpwstr>
  </property>
  <property fmtid="{D5CDD505-2E9C-101B-9397-08002B2CF9AE}" pid="4" name="KSOTemplateDocerSaveRecord">
    <vt:lpwstr>eyJoZGlkIjoiZDBlMmNhOWU1OTdkYmY5MjYwZTJhOGU1ODE3OGI1MTMiLCJ1c2VySWQiOiIxNDc5NTE5OTM0In0=</vt:lpwstr>
  </property>
</Properties>
</file>