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8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关于2026年寒假南洋理工大学访学项目报名的通知</w:t>
      </w:r>
    </w:p>
    <w:p>
      <w:pPr>
        <w:adjustRightInd w:val="0"/>
        <w:snapToGrid w:val="0"/>
        <w:spacing w:line="278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为顺应全球化深入发展与跨学科融合的趋势，进一步提升学生的国际视野和学术素养，我校将组织开展</w:t>
      </w:r>
      <w:r>
        <w:rPr>
          <w:rFonts w:ascii="宋体" w:hAnsi="宋体" w:eastAsia="宋体"/>
          <w:sz w:val="24"/>
          <w:szCs w:val="24"/>
        </w:rPr>
        <w:t>2026年寒假南洋理工大学访学项目。该项目依托南洋理工大学的优势学科资源与国际化教育平台，为学生提供</w:t>
      </w:r>
      <w:r>
        <w:rPr>
          <w:rFonts w:hint="eastAsia" w:ascii="宋体" w:hAnsi="宋体" w:eastAsia="宋体"/>
          <w:sz w:val="24"/>
          <w:szCs w:val="24"/>
        </w:rPr>
        <w:t>沉浸式</w:t>
      </w:r>
      <w:r>
        <w:rPr>
          <w:rFonts w:ascii="宋体" w:hAnsi="宋体" w:eastAsia="宋体"/>
          <w:sz w:val="24"/>
          <w:szCs w:val="24"/>
        </w:rPr>
        <w:t>的国际学习体验。现将有关事项通知如下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一、学校简介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b/>
          <w:sz w:val="24"/>
          <w:szCs w:val="24"/>
        </w:rPr>
        <w:t>南洋理工大学</w:t>
      </w:r>
      <w:r>
        <w:rPr>
          <w:rFonts w:ascii="Times New Roman" w:hAnsi="Times New Roman" w:eastAsia="宋体" w:cs="Times New Roman"/>
          <w:sz w:val="24"/>
          <w:szCs w:val="24"/>
        </w:rPr>
        <w:t>（Nanyang Technological University，简称NTU）是新加坡首屈一指的世界顶级综合研究型大学，在2026年QS世界大学排名中位列全球第12名、亚洲第3名。NTU拥有约3.3万名本科生与研究生，学科涵盖工学、理学、商学、人文、艺术与社会科学、医学等领域。</w:t>
      </w:r>
    </w:p>
    <w:p>
      <w:pPr>
        <w:adjustRightInd w:val="0"/>
        <w:snapToGrid w:val="0"/>
        <w:spacing w:after="156" w:afterLines="50"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作为全球高校人工智能学术联盟创始成员及环太平洋大学联盟成员，NTU在工科、商科及人工智能等领域享有极高声誉。校园环境优美，被誉为全球十大最美校园之一。</w:t>
      </w:r>
    </w:p>
    <w:p>
      <w:pPr>
        <w:adjustRightInd w:val="0"/>
        <w:snapToGrid w:val="0"/>
        <w:spacing w:line="278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5429250" cy="1303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095" cy="1339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二、项目简介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本次访学项目由NTU主办部门联合新中青年交流中心共同开展，旨在帮助学生走出国门、深入世界一流名校学习，拓展国际视野、提升学术素养与综合竞争力。项目以“名校课程学习</w:t>
      </w:r>
      <w:r>
        <w:rPr>
          <w:rFonts w:ascii="Times New Roman" w:hAnsi="Times New Roman" w:eastAsia="宋体" w:cs="Times New Roman"/>
          <w:sz w:val="24"/>
          <w:szCs w:val="24"/>
        </w:rPr>
        <w:t>+政企机构参访+城市文化体验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为核心模式，面向不同专业方向开设多种主题课程，帮助学生在短时间内深入体验</w:t>
      </w:r>
      <w:r>
        <w:rPr>
          <w:rFonts w:hint="eastAsia" w:ascii="Times New Roman" w:hAnsi="Times New Roman" w:eastAsia="宋体" w:cs="Times New Roman"/>
          <w:sz w:val="24"/>
          <w:szCs w:val="24"/>
        </w:rPr>
        <w:t>NTU</w:t>
      </w:r>
      <w:r>
        <w:rPr>
          <w:rFonts w:ascii="Times New Roman" w:hAnsi="Times New Roman" w:eastAsia="宋体" w:cs="Times New Roman"/>
          <w:sz w:val="24"/>
          <w:szCs w:val="24"/>
        </w:rPr>
        <w:t>独特的学术氛围与新加坡社会文化。</w:t>
      </w: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三、项目时间与主题</w:t>
      </w:r>
    </w:p>
    <w:p>
      <w:pPr>
        <w:adjustRightInd w:val="0"/>
        <w:snapToGrid w:val="0"/>
        <w:spacing w:line="278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项目均为线下实地访学，包含往返行程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278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项目详情（课程内容、日程安排、住宿与费用等）见附件简章。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ab/>
      </w:r>
      <w:r>
        <w:rPr>
          <w:rFonts w:ascii="Times New Roman" w:hAnsi="Times New Roman" w:eastAsia="宋体" w:cs="Times New Roman"/>
          <w:b/>
          <w:sz w:val="24"/>
          <w:szCs w:val="24"/>
        </w:rPr>
        <w:t>第一批（2026年1月24日—1月30日）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城市规划与建筑设计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材料科学与生化工程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教育学、心理学与教学方法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ab/>
      </w:r>
      <w:r>
        <w:rPr>
          <w:rFonts w:ascii="Times New Roman" w:hAnsi="Times New Roman" w:eastAsia="宋体" w:cs="Times New Roman"/>
          <w:b/>
          <w:sz w:val="24"/>
          <w:szCs w:val="24"/>
        </w:rPr>
        <w:t>第二批（2026年1月31日—2月6日）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人工智能与工业4.0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机器人与自动化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计算机科学与应用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航空航天理论与实操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商业分析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生物医学与生命科学</w:t>
      </w:r>
    </w:p>
    <w:p>
      <w:pPr>
        <w:adjustRightInd w:val="0"/>
        <w:snapToGrid w:val="0"/>
        <w:spacing w:line="278" w:lineRule="auto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·</w:t>
      </w:r>
      <w:r>
        <w:rPr>
          <w:rFonts w:ascii="Times New Roman" w:hAnsi="Times New Roman" w:eastAsia="宋体" w:cs="Times New Roman"/>
          <w:sz w:val="24"/>
          <w:szCs w:val="24"/>
        </w:rPr>
        <w:t>全球治理与人工智能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其他项目</w:t>
      </w:r>
    </w:p>
    <w:tbl>
      <w:tblPr>
        <w:tblStyle w:val="5"/>
        <w:tblpPr w:leftFromText="180" w:rightFromText="180" w:vertAnchor="text" w:horzAnchor="margin" w:tblpXSpec="center" w:tblpY="88"/>
        <w:tblW w:w="36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710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78" w:type="dxa"/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2"/>
                <w14:ligatures w14:val="none"/>
              </w:rPr>
              <w:t>主办方</w:t>
            </w:r>
          </w:p>
        </w:tc>
        <w:tc>
          <w:tcPr>
            <w:tcW w:w="2710" w:type="dxa"/>
            <w:shd w:val="clear" w:color="auto" w:fill="DEEAF6" w:themeFill="accent1" w:themeFillTint="3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2"/>
                <w14:ligatures w14:val="none"/>
              </w:rPr>
              <w:t>课程主题</w:t>
            </w:r>
          </w:p>
        </w:tc>
        <w:tc>
          <w:tcPr>
            <w:tcW w:w="2425" w:type="dxa"/>
            <w:shd w:val="clear" w:color="auto" w:fill="DEEAF6" w:themeFill="accent1" w:themeFillTint="33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2"/>
                <w14:ligatures w14:val="none"/>
              </w:rPr>
              <w:t>课程时间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  <w:t>南洋理工大学</w:t>
            </w: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人工智能实验室科研项目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2026.02.01 - 02.08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2026.02.08 - 02.15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智能制造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2026.01.18 - 01.25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人工智能与GPT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2026.01.25 - 02.01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化学与材料科学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2026.02.01 - 02.08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能源转型与未来技术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2"/>
                <w14:ligatures w14:val="none"/>
              </w:rPr>
            </w:pPr>
            <w:r>
              <w:rPr>
                <w:rFonts w:hint="eastAsia"/>
              </w:rPr>
              <w:t>2026.01.25 - 02.01</w:t>
            </w:r>
          </w:p>
        </w:tc>
      </w:tr>
    </w:tbl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pStyle w:val="9"/>
        <w:tabs>
          <w:tab w:val="left" w:pos="312"/>
        </w:tabs>
        <w:spacing w:line="40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项目费用：</w:t>
      </w:r>
    </w:p>
    <w:p>
      <w:pPr>
        <w:pStyle w:val="9"/>
        <w:tabs>
          <w:tab w:val="left" w:pos="312"/>
        </w:tabs>
        <w:spacing w:line="400" w:lineRule="exact"/>
        <w:ind w:left="0" w:firstLine="480" w:firstLineChars="200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项目费用：16800元 （含机票）</w:t>
      </w:r>
    </w:p>
    <w:p>
      <w:pPr>
        <w:pStyle w:val="9"/>
        <w:tabs>
          <w:tab w:val="left" w:pos="312"/>
        </w:tabs>
        <w:spacing w:line="400" w:lineRule="exact"/>
        <w:ind w:left="0" w:firstLine="480" w:firstLineChars="200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项目费用包含：大学课程费、住宿费、团体国际机票、参访交流费、境外大巴费、保险费等； </w:t>
      </w:r>
    </w:p>
    <w:p>
      <w:pPr>
        <w:pStyle w:val="9"/>
        <w:tabs>
          <w:tab w:val="left" w:pos="312"/>
        </w:tabs>
        <w:spacing w:line="400" w:lineRule="exact"/>
        <w:ind w:left="0" w:firstLine="480" w:firstLineChars="200"/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项目费用不含：护照费、三餐餐费等其它个人消费。</w:t>
      </w:r>
    </w:p>
    <w:p>
      <w:pPr>
        <w:adjustRightInd w:val="0"/>
        <w:snapToGrid w:val="0"/>
        <w:spacing w:before="156" w:beforeLines="50" w:line="278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四、项目模块与内容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1. 学术课程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由</w:t>
      </w:r>
      <w:r>
        <w:rPr>
          <w:rFonts w:hint="eastAsia" w:ascii="Times New Roman" w:hAnsi="Times New Roman" w:eastAsia="宋体" w:cs="Times New Roman"/>
          <w:sz w:val="24"/>
          <w:szCs w:val="24"/>
        </w:rPr>
        <w:t>NTU</w:t>
      </w:r>
      <w:r>
        <w:rPr>
          <w:rFonts w:ascii="Times New Roman" w:hAnsi="Times New Roman" w:eastAsia="宋体" w:cs="Times New Roman"/>
          <w:sz w:val="24"/>
          <w:szCs w:val="24"/>
        </w:rPr>
        <w:t>教授与行业专家授课，课程内容涵盖人工智能、工业4.0、商业分析、生物医学、教育心理、建筑设计等多个领域。学员将收到NTU主办部门签发的正式邀请函。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2. 政企参访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项目期间将组织学生走访新加坡政府机构及知名企业，深入了解新加坡在科技创新、经济治理、智慧城市建设等领域的先进经验。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3. 人文交流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项目还包括对新加坡城市文化与历史的考察，帮助学生感受南洋文化氛围，提升跨文化理解与沟通能力。</w:t>
      </w:r>
    </w:p>
    <w:p>
      <w:pPr>
        <w:adjustRightInd w:val="0"/>
        <w:snapToGrid w:val="0"/>
        <w:spacing w:line="278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4. 结业比赛</w:t>
      </w:r>
    </w:p>
    <w:p>
      <w:pPr>
        <w:adjustRightInd w:val="0"/>
        <w:snapToGrid w:val="0"/>
        <w:spacing w:after="156" w:afterLines="50"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学员将以小组为单位，围绕课程主题完成项目研究与汇报，并在结业仪式上进行全英文展示与答辩，锻炼科研、演讲与团队协作能力。</w:t>
      </w:r>
    </w:p>
    <w:p>
      <w:pPr>
        <w:adjustRightInd w:val="0"/>
        <w:snapToGrid w:val="0"/>
        <w:spacing w:before="156" w:beforeLines="50" w:line="27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五、项目收获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1</w:t>
      </w:r>
      <w:r>
        <w:rPr>
          <w:rFonts w:ascii="宋体" w:hAnsi="宋体" w:eastAsia="宋体" w:cs="Times New Roman"/>
          <w:b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b/>
          <w:sz w:val="24"/>
          <w:szCs w:val="24"/>
        </w:rPr>
        <w:t>双重结业证书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·南洋理工大学主办部门颁发的项目结业证书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·新中青年交流中心颁发的项目结业证书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2</w:t>
      </w:r>
      <w:r>
        <w:rPr>
          <w:rFonts w:ascii="宋体" w:hAnsi="宋体" w:eastAsia="宋体" w:cs="Times New Roman"/>
          <w:b/>
          <w:sz w:val="24"/>
          <w:szCs w:val="24"/>
        </w:rPr>
        <w:t xml:space="preserve">. 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hint="eastAsia" w:ascii="宋体" w:hAnsi="宋体" w:eastAsia="宋体" w:cs="Times New Roman"/>
          <w:b/>
          <w:sz w:val="24"/>
          <w:szCs w:val="24"/>
        </w:rPr>
        <w:t>优胜小组证明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结业汇报中表现优异的小组成员将获颁</w:t>
      </w:r>
      <w:r>
        <w:rPr>
          <w:rFonts w:ascii="Times New Roman" w:hAnsi="Times New Roman" w:eastAsia="宋体" w:cs="Times New Roman"/>
          <w:sz w:val="24"/>
          <w:szCs w:val="24"/>
        </w:rPr>
        <w:t>NTU</w:t>
      </w:r>
      <w:r>
        <w:rPr>
          <w:rFonts w:hint="eastAsia" w:ascii="宋体" w:hAnsi="宋体" w:eastAsia="宋体" w:cs="Times New Roman"/>
          <w:sz w:val="24"/>
          <w:szCs w:val="24"/>
        </w:rPr>
        <w:t>主办部门签发的优胜小组证明。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3</w:t>
      </w:r>
      <w:r>
        <w:rPr>
          <w:rFonts w:ascii="宋体" w:hAnsi="宋体" w:eastAsia="宋体" w:cs="Times New Roman"/>
          <w:b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b/>
          <w:sz w:val="24"/>
          <w:szCs w:val="24"/>
        </w:rPr>
        <w:t>项目推荐信</w:t>
      </w:r>
      <w:r>
        <w:rPr>
          <w:rFonts w:ascii="宋体" w:hAnsi="宋体" w:eastAsia="宋体" w:cs="Times New Roman"/>
          <w:b/>
          <w:sz w:val="24"/>
          <w:szCs w:val="24"/>
        </w:rPr>
        <w:t>/学术证明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完成课程的学员将获得项目推荐信或学术证明信，部分项目还附等级评定报告或企业实训证明。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4</w:t>
      </w:r>
      <w:r>
        <w:rPr>
          <w:rFonts w:ascii="宋体" w:hAnsi="宋体" w:eastAsia="宋体" w:cs="Times New Roman"/>
          <w:b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b/>
          <w:sz w:val="24"/>
          <w:szCs w:val="24"/>
        </w:rPr>
        <w:t>综合能力提升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学生将收获国际化课程体验、科研思维训练、学术表达能力与跨文化交流技能，为今后的升学与职业发展奠定坚实基础。</w:t>
      </w:r>
    </w:p>
    <w:p>
      <w:pPr>
        <w:adjustRightInd w:val="0"/>
        <w:snapToGrid w:val="0"/>
        <w:spacing w:before="156" w:beforeLines="50" w:line="27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sz w:val="28"/>
          <w:szCs w:val="28"/>
        </w:rPr>
        <w:t>、申请资格与条件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·我校全日制在读本科生，年级、专业不限，年龄须满</w:t>
      </w:r>
      <w:r>
        <w:rPr>
          <w:rFonts w:ascii="宋体" w:hAnsi="宋体" w:eastAsia="宋体" w:cs="Times New Roman"/>
          <w:sz w:val="24"/>
          <w:szCs w:val="24"/>
        </w:rPr>
        <w:t>18周岁；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·政治素质好，遵纪守法，思想端正，无违纪违规记录；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·学习成绩优良，具有较强的专业基础与实践能力；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·英语听说读写能力较强，能适应全英文授课与交流；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·身心健康，能圆满完成访学与实践任务；</w:t>
      </w:r>
    </w:p>
    <w:p>
      <w:pPr>
        <w:adjustRightInd w:val="0"/>
        <w:snapToGrid w:val="0"/>
        <w:spacing w:line="278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·已缴清学费，具备相应经济条件。</w:t>
      </w:r>
    </w:p>
    <w:p>
      <w:pPr>
        <w:adjustRightInd w:val="0"/>
        <w:snapToGrid w:val="0"/>
        <w:spacing w:before="156" w:beforeLines="50" w:line="278" w:lineRule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sz w:val="28"/>
          <w:szCs w:val="28"/>
        </w:rPr>
        <w:t>、选拔程序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1．采取“个人申请、学院推荐、专家评审、择优录取”的方式进行选拔。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2．申请人应向所在学院提交以下材料：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（1）《南京邮电大学本科生海外访学申请表》（附件2）；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（2）英语水平证明及复印件；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（3）学术科研能力证明材料及复印件（包括论文发表、参与竞赛、项目等）；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（4）获奖证书及复印件。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．申请人申请材料交至各学院，学院根据申请资格与条件对申请人进行筛选、排序并填写《南京邮电大学本科生海外访学申请汇总表》（附件3），于11月15日前将候选人申请材料及汇总表交至教务处实践教学科，逾期不递交材料的学院作自动放弃处理。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>4．教务处会同相关部门，共同组织专家进行评审，确定我校参加该项目的学生名单，并进行公示。</w:t>
      </w:r>
    </w:p>
    <w:p>
      <w:pPr>
        <w:adjustRightInd w:val="0"/>
        <w:snapToGrid w:val="0"/>
        <w:spacing w:before="156" w:beforeLines="50" w:line="278" w:lineRule="auto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Times New Roman"/>
          <w:b/>
          <w:sz w:val="28"/>
          <w:szCs w:val="28"/>
        </w:rPr>
        <w:t>、其他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1.联系人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国际处侍老师025-83492393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教务处于老师025-85866258</w:t>
      </w:r>
    </w:p>
    <w:p>
      <w:pPr>
        <w:adjustRightInd w:val="0"/>
        <w:snapToGrid w:val="0"/>
        <w:spacing w:line="278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被录取学生如需交纳其他材料将另行通知。</w:t>
      </w:r>
    </w:p>
    <w:p>
      <w:pPr>
        <w:adjustRightInd w:val="0"/>
        <w:snapToGrid w:val="0"/>
        <w:spacing w:line="278" w:lineRule="auto"/>
        <w:jc w:val="right"/>
        <w:rPr>
          <w:rFonts w:hint="eastAsia" w:ascii="宋体" w:hAnsi="宋体" w:eastAsia="宋体" w:cs="Times New Roman"/>
          <w:sz w:val="24"/>
          <w:szCs w:val="24"/>
        </w:rPr>
      </w:pPr>
    </w:p>
    <w:p>
      <w:pPr>
        <w:adjustRightInd w:val="0"/>
        <w:snapToGrid w:val="0"/>
        <w:spacing w:line="278" w:lineRule="auto"/>
        <w:jc w:val="righ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国际合作交流处</w:t>
      </w:r>
    </w:p>
    <w:p>
      <w:pPr>
        <w:adjustRightInd w:val="0"/>
        <w:snapToGrid w:val="0"/>
        <w:spacing w:line="278" w:lineRule="auto"/>
        <w:jc w:val="right"/>
        <w:rPr>
          <w:rFonts w:hint="eastAsia" w:ascii="宋体" w:hAnsi="宋体" w:eastAsia="宋体" w:cs="Times New Roman"/>
          <w:sz w:val="24"/>
          <w:szCs w:val="24"/>
          <w:lang w:eastAsia="zh-Hans"/>
        </w:rPr>
      </w:pPr>
      <w:r>
        <w:rPr>
          <w:rFonts w:hint="eastAsia" w:ascii="宋体" w:hAnsi="宋体" w:eastAsia="宋体" w:cs="Times New Roman"/>
          <w:sz w:val="24"/>
          <w:szCs w:val="24"/>
        </w:rPr>
        <w:t>2025年10月10日</w:t>
      </w:r>
    </w:p>
    <w:p>
      <w:pPr>
        <w:adjustRightInd w:val="0"/>
        <w:snapToGrid w:val="0"/>
        <w:spacing w:line="278" w:lineRule="auto"/>
        <w:jc w:val="right"/>
        <w:rPr>
          <w:rFonts w:hint="eastAsia" w:ascii="宋体" w:hAnsi="宋体" w:eastAsia="宋体" w:cs="Times New Roman"/>
          <w:sz w:val="24"/>
          <w:szCs w:val="24"/>
        </w:rPr>
      </w:pPr>
    </w:p>
    <w:sectPr>
      <w:pgSz w:w="11906" w:h="16838"/>
      <w:pgMar w:top="1418" w:right="1361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F"/>
    <w:rsid w:val="0037178F"/>
    <w:rsid w:val="00386F13"/>
    <w:rsid w:val="003D3CBA"/>
    <w:rsid w:val="004F36EB"/>
    <w:rsid w:val="00526673"/>
    <w:rsid w:val="00612526"/>
    <w:rsid w:val="0071483A"/>
    <w:rsid w:val="008B1A3B"/>
    <w:rsid w:val="008E194F"/>
    <w:rsid w:val="008E2CB9"/>
    <w:rsid w:val="00931277"/>
    <w:rsid w:val="009A54F7"/>
    <w:rsid w:val="00A848D6"/>
    <w:rsid w:val="00AA6A72"/>
    <w:rsid w:val="00BA0C66"/>
    <w:rsid w:val="00C34B47"/>
    <w:rsid w:val="00D426B6"/>
    <w:rsid w:val="00DC7367"/>
    <w:rsid w:val="00DF7F0F"/>
    <w:rsid w:val="00EA3CD3"/>
    <w:rsid w:val="0BC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312</Words>
  <Characters>1781</Characters>
  <Lines>14</Lines>
  <Paragraphs>4</Paragraphs>
  <TotalTime>2</TotalTime>
  <ScaleCrop>false</ScaleCrop>
  <LinksUpToDate>false</LinksUpToDate>
  <CharactersWithSpaces>2089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2025-10-11T06:38:00Z</dcterms:created>
  <dc:creator>Szq</dc:creator>
  <cp:lastModifiedBy>侍洁</cp:lastModifiedBy>
  <dcterms:modified xsi:type="dcterms:W3CDTF">2025-10-20T06:15:02Z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C2B28A1CB4694A9CB03B17A95F8F560A</vt:lpwstr>
  </property>
</Properties>
</file>