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DF" w:rsidRDefault="000F4262">
      <w:pPr>
        <w:widowControl w:val="0"/>
        <w:spacing w:line="279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2026</w:t>
      </w:r>
      <w:r>
        <w:rPr>
          <w:rFonts w:ascii="Times New Roman" w:eastAsia="宋体" w:hAnsi="Times New Roman" w:cs="Times New Roman"/>
          <w:b/>
          <w:sz w:val="32"/>
          <w:szCs w:val="32"/>
        </w:rPr>
        <w:t>寒假剑桥大学学术科研项目报名通知</w:t>
      </w:r>
    </w:p>
    <w:p w:rsidR="004526DF" w:rsidRDefault="000F4262">
      <w:pPr>
        <w:widowControl w:val="0"/>
        <w:spacing w:line="279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 xml:space="preserve">  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一、项目概要</w:t>
      </w:r>
    </w:p>
    <w:p w:rsidR="004526DF" w:rsidRDefault="000F4262">
      <w:pPr>
        <w:spacing w:before="240" w:after="120"/>
        <w:ind w:left="42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theme="minorBidi" w:hint="eastAsia"/>
          <w:b/>
          <w:kern w:val="2"/>
          <w:sz w:val="28"/>
        </w:rPr>
        <w:t>（一）</w:t>
      </w:r>
      <w:r>
        <w:rPr>
          <w:rFonts w:ascii="Times New Roman" w:eastAsia="宋体" w:hAnsi="Times New Roman" w:cstheme="minorBidi"/>
          <w:b/>
          <w:kern w:val="2"/>
          <w:sz w:val="28"/>
          <w:lang w:eastAsia="zh-Hans"/>
        </w:rPr>
        <w:t>项目类型：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学术及科研思维能力提升类项目</w:t>
      </w:r>
    </w:p>
    <w:p w:rsidR="004526DF" w:rsidRDefault="000F4262">
      <w:pPr>
        <w:numPr>
          <w:ilvl w:val="0"/>
          <w:numId w:val="1"/>
        </w:numPr>
        <w:spacing w:before="240" w:after="120"/>
        <w:ind w:left="420"/>
        <w:rPr>
          <w:rFonts w:ascii="Times New Roman" w:eastAsia="宋体" w:hAnsi="Times New Roman" w:cstheme="minorBidi"/>
          <w:b/>
          <w:kern w:val="2"/>
          <w:sz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lang w:eastAsia="zh-Hans"/>
        </w:rPr>
        <w:t>学科分类：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课题制，跨学科课程，适配理工商文各学科</w:t>
      </w:r>
    </w:p>
    <w:p w:rsidR="004526DF" w:rsidRDefault="000F4262">
      <w:pPr>
        <w:pStyle w:val="2"/>
        <w:widowControl w:val="0"/>
        <w:adjustRightInd w:val="0"/>
        <w:snapToGrid w:val="0"/>
        <w:spacing w:before="240" w:line="279" w:lineRule="auto"/>
        <w:ind w:left="420"/>
        <w:jc w:val="both"/>
        <w:rPr>
          <w:rFonts w:ascii="Times New Roman" w:eastAsia="宋体" w:hAnsi="Times New Roman" w:cstheme="minorBidi"/>
          <w:b/>
          <w:kern w:val="2"/>
          <w:sz w:val="28"/>
          <w:szCs w:val="22"/>
          <w:lang w:eastAsia="zh-Hans"/>
        </w:rPr>
      </w:pPr>
      <w:r>
        <w:rPr>
          <w:rFonts w:ascii="Times New Roman" w:eastAsia="宋体" w:hAnsi="Times New Roman" w:cstheme="minorBidi" w:hint="eastAsia"/>
          <w:b/>
          <w:kern w:val="2"/>
          <w:sz w:val="28"/>
          <w:szCs w:val="22"/>
        </w:rPr>
        <w:t>（三）</w:t>
      </w:r>
      <w:r>
        <w:rPr>
          <w:rFonts w:ascii="Times New Roman" w:eastAsia="宋体" w:hAnsi="Times New Roman" w:cstheme="minorBidi"/>
          <w:b/>
          <w:kern w:val="2"/>
          <w:sz w:val="28"/>
          <w:szCs w:val="22"/>
          <w:lang w:eastAsia="zh-Hans"/>
        </w:rPr>
        <w:t>项目概述：</w:t>
      </w:r>
    </w:p>
    <w:p w:rsidR="004526DF" w:rsidRDefault="000F4262">
      <w:pPr>
        <w:spacing w:after="120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寒假剑桥学术科研项目面向希望在短期内建立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系统化思维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+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项目制学习（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Project-Based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Learning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能力的学生。由剑桥大学工程学院及相关学科教授亲授，课程以真实问题为驱动，引导学生基于自身专业和兴趣进行跨学科探索与团队协作，在系统化设计框架下提出可验证的解决方案。通过结构化的方法论训练与高密度的项目实践，学员将拓宽工程与交叉领域视野，沉浸式体验剑桥式学术训练，并形成可用于后续毕业设计、深造申请与学术写作的阶段性研究产出。</w:t>
      </w:r>
    </w:p>
    <w:p w:rsidR="004526DF" w:rsidRDefault="000F4262">
      <w:pPr>
        <w:spacing w:after="120"/>
        <w:ind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该项目已获得英国学术委员会（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British Accreditation Council, BAC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）认证，能够为学生的留学、升学和求职提供学术能力和个人竞争力的权威证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明。自项目启动以来，已经连续运营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年，吸引了超过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000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名校友参与线上及线下项目。其中，超过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20%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的项目学生被世界排名前五十名的顶尖学府录取。</w:t>
      </w:r>
    </w:p>
    <w:p w:rsidR="004526DF" w:rsidRDefault="000F4262">
      <w:pPr>
        <w:pStyle w:val="2"/>
        <w:widowControl w:val="0"/>
        <w:adjustRightInd w:val="0"/>
        <w:snapToGrid w:val="0"/>
        <w:spacing w:before="240" w:line="279" w:lineRule="auto"/>
        <w:ind w:left="420"/>
        <w:jc w:val="both"/>
        <w:rPr>
          <w:rFonts w:ascii="Times New Roman" w:eastAsia="宋体" w:hAnsi="Times New Roman" w:cstheme="minorBidi"/>
          <w:b/>
          <w:kern w:val="2"/>
          <w:sz w:val="28"/>
          <w:szCs w:val="22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2"/>
          <w:lang w:eastAsia="zh-Hans"/>
        </w:rPr>
        <w:t xml:space="preserve"> </w:t>
      </w:r>
      <w:r>
        <w:rPr>
          <w:rFonts w:ascii="Times New Roman" w:eastAsia="宋体" w:hAnsi="Times New Roman" w:cstheme="minorBidi" w:hint="eastAsia"/>
          <w:b/>
          <w:kern w:val="2"/>
          <w:sz w:val="28"/>
          <w:szCs w:val="22"/>
        </w:rPr>
        <w:t>（四）</w:t>
      </w:r>
      <w:r>
        <w:rPr>
          <w:rFonts w:ascii="Times New Roman" w:eastAsia="宋体" w:hAnsi="Times New Roman" w:cstheme="minorBidi"/>
          <w:b/>
          <w:kern w:val="2"/>
          <w:sz w:val="28"/>
          <w:szCs w:val="22"/>
          <w:lang w:eastAsia="zh-Hans"/>
        </w:rPr>
        <w:t>项目亮点：</w:t>
      </w:r>
    </w:p>
    <w:p w:rsidR="004526DF" w:rsidRDefault="000F4262">
      <w:pPr>
        <w:numPr>
          <w:ilvl w:val="0"/>
          <w:numId w:val="2"/>
        </w:numPr>
        <w:spacing w:after="120"/>
        <w:ind w:left="0" w:firstLineChars="200" w:firstLine="482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系统化思维创建：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系统观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设计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迭代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为主线，构建面向未来发展的系统化思维体系，强化知识迁移与问题抽象能力。</w:t>
      </w:r>
    </w:p>
    <w:p w:rsidR="004526DF" w:rsidRDefault="000F4262">
      <w:pPr>
        <w:numPr>
          <w:ilvl w:val="0"/>
          <w:numId w:val="2"/>
        </w:numPr>
        <w:spacing w:after="120"/>
        <w:ind w:left="0" w:firstLineChars="200" w:firstLine="482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前沿交叉学科探索：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围绕个人研究背景与兴趣择题开展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PBL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式探究；在导师指导下完成从问题定义、方案设计到评估迭代的完整路径，沉淀阶段性可交付成果。</w:t>
      </w:r>
    </w:p>
    <w:p w:rsidR="004526DF" w:rsidRDefault="000F4262">
      <w:pPr>
        <w:numPr>
          <w:ilvl w:val="0"/>
          <w:numId w:val="2"/>
        </w:numPr>
        <w:spacing w:after="120"/>
        <w:ind w:left="0" w:firstLineChars="200" w:firstLine="482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剑桥教授设计授课：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由剑桥大学工程学院及相关学科教授担纲课程设计与教学，提供高质量的学术指导与过程性反馈，贴近国际一流科研训练标准。</w:t>
      </w:r>
    </w:p>
    <w:p w:rsidR="004526DF" w:rsidRDefault="000F4262">
      <w:pPr>
        <w:numPr>
          <w:ilvl w:val="0"/>
          <w:numId w:val="2"/>
        </w:numPr>
        <w:spacing w:after="120"/>
        <w:ind w:left="0"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未来准备度提升：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系统化思维、跨学科研究、团队协作、创意创新与知识转化五项核心能力协同提升，助力毕业设计、深造申请与后续论文写作的思路搭建与材料准备。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二、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 xml:space="preserve"> 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项目信息与课程安排</w:t>
      </w:r>
    </w:p>
    <w:p w:rsidR="004526DF" w:rsidRDefault="000F4262">
      <w:pPr>
        <w:pStyle w:val="a8"/>
        <w:numPr>
          <w:ilvl w:val="0"/>
          <w:numId w:val="3"/>
        </w:numPr>
        <w:spacing w:after="120"/>
        <w:ind w:left="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项目时间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</w:p>
    <w:p w:rsidR="004526DF" w:rsidRDefault="000F4262">
      <w:pPr>
        <w:pStyle w:val="a8"/>
        <w:numPr>
          <w:ilvl w:val="0"/>
          <w:numId w:val="3"/>
        </w:numPr>
        <w:spacing w:after="120"/>
        <w:ind w:left="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lastRenderedPageBreak/>
        <w:t>总计学时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学时。包括学术综合辅导模块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16.5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学时，英伦文化体验模块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10.5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学时，学术和文化讲座模块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学时，项目小组学习模块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学时。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项目课题选择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:rsidR="004526DF" w:rsidRDefault="000F4262">
      <w:pPr>
        <w:pStyle w:val="a8"/>
        <w:numPr>
          <w:ilvl w:val="0"/>
          <w:numId w:val="4"/>
        </w:numPr>
        <w:spacing w:after="120"/>
        <w:ind w:left="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Engineering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工程类</w:t>
      </w:r>
    </w:p>
    <w:p w:rsidR="004526DF" w:rsidRDefault="000F4262">
      <w:pPr>
        <w:numPr>
          <w:ilvl w:val="0"/>
          <w:numId w:val="5"/>
        </w:numPr>
        <w:spacing w:after="120"/>
        <w:ind w:left="0"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Robotics for Humanity: Engineering Intelligent Manufacturing Systems for the Electric Vehicle Industry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人本机器人：设计电动车产业的智能制造系统</w:t>
      </w:r>
    </w:p>
    <w:p w:rsidR="004526DF" w:rsidRDefault="000F4262">
      <w:pPr>
        <w:numPr>
          <w:ilvl w:val="0"/>
          <w:numId w:val="5"/>
        </w:numPr>
        <w:spacing w:after="120"/>
        <w:ind w:left="0"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Smart Infrastructure: Designing Sustainable and Resilient AI-Driven Cities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智慧基础设施：设计可持续与韧性的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AI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驱动城市</w:t>
      </w:r>
    </w:p>
    <w:p w:rsidR="004526DF" w:rsidRDefault="000F4262">
      <w:pPr>
        <w:numPr>
          <w:ilvl w:val="0"/>
          <w:numId w:val="5"/>
        </w:numPr>
        <w:spacing w:after="120"/>
        <w:ind w:left="0"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Innovating Imm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ersion: Designing Brain-Computer Interface Devices and Experiences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创新沉浸：设计脑机接口设备与沉浸式体验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:rsidR="004526DF" w:rsidRDefault="000F4262">
      <w:pPr>
        <w:pStyle w:val="a8"/>
        <w:numPr>
          <w:ilvl w:val="0"/>
          <w:numId w:val="4"/>
        </w:numPr>
        <w:spacing w:after="120"/>
        <w:ind w:left="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Business and Finance/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商科与金融类</w:t>
      </w:r>
    </w:p>
    <w:p w:rsidR="004526DF" w:rsidRDefault="000F4262">
      <w:pPr>
        <w:pStyle w:val="a8"/>
        <w:numPr>
          <w:ilvl w:val="0"/>
          <w:numId w:val="6"/>
        </w:numPr>
        <w:spacing w:after="120"/>
        <w:ind w:left="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 xml:space="preserve">From 3D to AI: Building an Innovative AI-First Storytelling Gaming Company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从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3D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到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AI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：打造创新性的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AI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驱动叙事型游戏公司</w:t>
      </w:r>
    </w:p>
    <w:p w:rsidR="004526DF" w:rsidRDefault="000F4262">
      <w:pPr>
        <w:pStyle w:val="a8"/>
        <w:numPr>
          <w:ilvl w:val="0"/>
          <w:numId w:val="6"/>
        </w:numPr>
        <w:spacing w:after="120"/>
        <w:ind w:left="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Stablecoin Revolution: Designing the Future of Digital Money and Its Financial Ecosystem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稳定币革命：设计数字货币的未来与金融生态系统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:rsidR="004526DF" w:rsidRDefault="000F4262">
      <w:pPr>
        <w:pStyle w:val="a8"/>
        <w:numPr>
          <w:ilvl w:val="0"/>
          <w:numId w:val="4"/>
        </w:numPr>
        <w:spacing w:after="120"/>
        <w:ind w:left="0" w:firstLine="482"/>
        <w:jc w:val="both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Humanities and Social Sciences/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人文社科类</w:t>
      </w:r>
    </w:p>
    <w:p w:rsidR="004526DF" w:rsidRDefault="000F4262">
      <w:pPr>
        <w:numPr>
          <w:ilvl w:val="0"/>
          <w:numId w:val="7"/>
        </w:numPr>
        <w:spacing w:after="120"/>
        <w:ind w:left="0"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Shaping the AI-Era of Mobility: Developing Public Policy for Autonomous Vehicles in Mega Cities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驶向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AI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时代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的出行：为超级城市自动驾驶制定公共政策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:rsidR="004526DF" w:rsidRDefault="000F4262">
      <w:pPr>
        <w:numPr>
          <w:ilvl w:val="0"/>
          <w:numId w:val="7"/>
        </w:numPr>
        <w:spacing w:after="120"/>
        <w:ind w:left="0" w:firstLineChars="20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The Future of Learning: AI, Creativity and Arts in Education Policy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学习的未来：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AI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驱动的创意与艺术教育政策设计</w:t>
      </w:r>
    </w:p>
    <w:p w:rsidR="004526DF" w:rsidRDefault="000F4262">
      <w:pPr>
        <w:pStyle w:val="a8"/>
        <w:numPr>
          <w:ilvl w:val="0"/>
          <w:numId w:val="4"/>
        </w:numPr>
        <w:spacing w:after="120"/>
        <w:ind w:left="0" w:firstLine="482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Medicine/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医药类</w:t>
      </w:r>
    </w:p>
    <w:p w:rsidR="004526DF" w:rsidRDefault="000F4262">
      <w:pPr>
        <w:pStyle w:val="a8"/>
        <w:numPr>
          <w:ilvl w:val="0"/>
          <w:numId w:val="8"/>
        </w:numPr>
        <w:spacing w:after="120"/>
        <w:ind w:left="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Revolutionizing Patient Care: Designing a Novel Drug Delivery System for Targeted Therapies /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革新制药：为靶向疗法设计新型药物开发系统</w:t>
      </w:r>
    </w:p>
    <w:p w:rsidR="004526DF" w:rsidRDefault="000F4262">
      <w:pPr>
        <w:pStyle w:val="a8"/>
        <w:numPr>
          <w:ilvl w:val="0"/>
          <w:numId w:val="8"/>
        </w:numPr>
        <w:spacing w:after="120"/>
        <w:ind w:left="0" w:firstLine="480"/>
        <w:jc w:val="both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 xml:space="preserve">From Sensor to System: Designing a Wearable Health Monitoring &amp; Decision Support System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>从传感到系统：可穿戴健康监测与决策支持系统设计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三、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 xml:space="preserve"> 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课程架构与内容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课程结构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1: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前沿知识学习模块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线下（建立系统设计与工程思维学术认知体系）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2: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专业应用课题模块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线下（自选一个小组课题进行研究性学习）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3: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学术素养训练模块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线上（学术写作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批判性思维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科研项目管理等）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 xml:space="preserve">2.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授课方式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学术讲座与研讨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/Lecture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、课题辅导工作坊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/Workshop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、小组研讨会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/Group Study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考核方式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课题报告、小组演讲</w:t>
      </w:r>
    </w:p>
    <w:p w:rsidR="004526DF" w:rsidRDefault="000F4262">
      <w:pPr>
        <w:spacing w:after="120"/>
        <w:ind w:firstLineChars="200" w:firstLine="482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*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考核内容和结果以任课老师最终确认为准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 xml:space="preserve"> 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四、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 xml:space="preserve"> 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项目产出</w:t>
      </w:r>
    </w:p>
    <w:p w:rsidR="004526DF" w:rsidRDefault="000F4262">
      <w:pPr>
        <w:spacing w:before="60"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课题报告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：可用于毕业论文撰写、留学申请或保研申请等过程</w:t>
      </w:r>
    </w:p>
    <w:p w:rsidR="004526DF" w:rsidRDefault="000F4262">
      <w:pPr>
        <w:spacing w:before="60"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项目证书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：项目官方结业证书</w:t>
      </w:r>
    </w:p>
    <w:p w:rsidR="004526DF" w:rsidRDefault="000F4262">
      <w:pPr>
        <w:spacing w:before="60"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成绩报告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：将签发符合英美学分体系的成绩报告，受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BAC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认证</w:t>
      </w:r>
    </w:p>
    <w:p w:rsidR="004526DF" w:rsidRDefault="000F4262">
      <w:pPr>
        <w:spacing w:before="60"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网申推荐信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：课程考核优秀的小组将获得教授推荐信</w:t>
      </w:r>
    </w:p>
    <w:p w:rsidR="004526DF" w:rsidRDefault="000F4262">
      <w:pPr>
        <w:spacing w:before="60"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国际学分转换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：课程在美国通用体系中相当于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个国际学分，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在欧洲体系中相当于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个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ECTS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具体学分转换请咨询不同学校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机构）。</w:t>
      </w:r>
    </w:p>
    <w:p w:rsidR="004526DF" w:rsidRDefault="000F4262">
      <w:pPr>
        <w:spacing w:before="60"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以上成果可用于个人留学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保研申请，项目组提供网申所需的协助。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五、项目申请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宣讲时间：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/10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17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/10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/10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highlight w:val="white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/11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/11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/11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日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  <w:sz w:val="20"/>
          <w:szCs w:val="20"/>
        </w:rPr>
        <w:t>*</w:t>
      </w:r>
      <w:r>
        <w:rPr>
          <w:rFonts w:ascii="Times New Roman" w:eastAsia="宋体" w:hAnsi="Times New Roman" w:cs="Times New Roman"/>
          <w:i/>
          <w:iCs/>
          <w:color w:val="000000" w:themeColor="text1"/>
          <w:sz w:val="20"/>
          <w:szCs w:val="20"/>
        </w:rPr>
        <w:t>剑桥大学工程学院教授和项目老师将在线对课程介绍和行程讲解，欢迎添加咨询微信了解宣讲细节和收听方式。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2.</w:t>
      </w: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项目手册和参考日程安排：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52905" cy="1652905"/>
            <wp:effectExtent l="0" t="0" r="0" b="0"/>
            <wp:docPr id="98751009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10090" name="图片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43" cy="172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申请方式：</w:t>
      </w:r>
    </w:p>
    <w:p w:rsidR="004526DF" w:rsidRDefault="000F4262">
      <w:pPr>
        <w:spacing w:after="120"/>
        <w:ind w:firstLineChars="200" w:firstLine="48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申请条件：</w:t>
      </w:r>
    </w:p>
    <w:p w:rsidR="004526DF" w:rsidRDefault="000F4262">
      <w:pPr>
        <w:spacing w:after="120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语言要求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：参考雅思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-6.0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，托福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-80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，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四级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-520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分，六级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-500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分</w:t>
      </w:r>
    </w:p>
    <w:p w:rsidR="004526DF" w:rsidRDefault="000F4262">
      <w:pPr>
        <w:spacing w:after="120"/>
        <w:ind w:leftChars="200" w:left="440"/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5.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项目费用：</w:t>
      </w:r>
    </w:p>
    <w:p w:rsidR="004526DF" w:rsidRDefault="000F4262">
      <w:pPr>
        <w:spacing w:after="120"/>
        <w:ind w:leftChars="200" w:left="44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项目费用：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3,950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英镑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人</w:t>
      </w:r>
    </w:p>
    <w:p w:rsidR="004526DF" w:rsidRDefault="000F4262">
      <w:pPr>
        <w:spacing w:after="120"/>
        <w:ind w:leftChars="200" w:left="440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费用包含以下内容：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学费及教学支持相关费用；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课程电子教材和相关资料；</w:t>
      </w:r>
    </w:p>
    <w:p w:rsidR="004526DF" w:rsidRDefault="000F4262">
      <w:pPr>
        <w:spacing w:after="120"/>
        <w:ind w:leftChars="527" w:left="1159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晚住宿（酒店双人间）；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14"/>
          <w:szCs w:val="14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早餐和午餐供应（周一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周五）；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项目安排的的文化活动；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接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送机日当天的接送机服务（伦敦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剑桥）；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覆盖标准项目日期的英国境内保险。</w:t>
      </w:r>
    </w:p>
    <w:p w:rsidR="004526DF" w:rsidRDefault="000F4262">
      <w:pPr>
        <w:spacing w:after="120"/>
        <w:ind w:leftChars="200" w:left="440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费用不包含：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机票费用及其他个人行程交通费用；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签证相关费用；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抵达日、离开日不提供三餐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周一至周五不提供晚餐、周末不提供午餐和晚餐；</w:t>
      </w:r>
    </w:p>
    <w:p w:rsidR="004526DF" w:rsidRDefault="000F4262">
      <w:pPr>
        <w:spacing w:after="120"/>
        <w:ind w:leftChars="527" w:left="1519" w:hanging="36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项目标准安排以外的个人消费。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</w:rPr>
        <w:t>六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、选拔程序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/>
          <w:sz w:val="24"/>
          <w:szCs w:val="32"/>
        </w:rPr>
        <w:t>采取</w:t>
      </w:r>
      <w:r>
        <w:rPr>
          <w:rFonts w:ascii="Times New Roman" w:eastAsia="宋体" w:hAnsi="Times New Roman" w:cs="Times New Roman"/>
          <w:sz w:val="24"/>
          <w:szCs w:val="32"/>
        </w:rPr>
        <w:t>“</w:t>
      </w:r>
      <w:r>
        <w:rPr>
          <w:rFonts w:ascii="Times New Roman" w:eastAsia="宋体" w:hAnsi="Times New Roman" w:cs="Times New Roman"/>
          <w:sz w:val="24"/>
          <w:szCs w:val="32"/>
        </w:rPr>
        <w:t>个人申请、学院推荐、专家评审、择优录取</w:t>
      </w:r>
      <w:r>
        <w:rPr>
          <w:rFonts w:ascii="Times New Roman" w:eastAsia="宋体" w:hAnsi="Times New Roman" w:cs="Times New Roman"/>
          <w:sz w:val="24"/>
          <w:szCs w:val="32"/>
        </w:rPr>
        <w:t>”</w:t>
      </w:r>
      <w:r>
        <w:rPr>
          <w:rFonts w:ascii="Times New Roman" w:eastAsia="宋体" w:hAnsi="Times New Roman" w:cs="Times New Roman"/>
          <w:sz w:val="24"/>
          <w:szCs w:val="32"/>
        </w:rPr>
        <w:t>的方式进行选拔。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/>
          <w:sz w:val="24"/>
          <w:szCs w:val="32"/>
        </w:rPr>
        <w:t>申请人应向所在学院提交以下材料：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）《南京邮电大学本科生海外访学申请表》（附件</w:t>
      </w:r>
      <w:r w:rsidR="000D378A"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/>
          <w:sz w:val="24"/>
          <w:szCs w:val="32"/>
        </w:rPr>
        <w:t>）；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2</w:t>
      </w:r>
      <w:r>
        <w:rPr>
          <w:rFonts w:ascii="Times New Roman" w:eastAsia="宋体" w:hAnsi="Times New Roman" w:cs="Times New Roman"/>
          <w:sz w:val="24"/>
          <w:szCs w:val="32"/>
        </w:rPr>
        <w:t>）英语水平证明及复印件；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3</w:t>
      </w:r>
      <w:r>
        <w:rPr>
          <w:rFonts w:ascii="Times New Roman" w:eastAsia="宋体" w:hAnsi="Times New Roman" w:cs="Times New Roman"/>
          <w:sz w:val="24"/>
          <w:szCs w:val="32"/>
        </w:rPr>
        <w:t>）学术科研能力证明材料及复印件（包括论文发表、参与竞赛、项目等）；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（</w:t>
      </w:r>
      <w:r>
        <w:rPr>
          <w:rFonts w:ascii="Times New Roman" w:eastAsia="宋体" w:hAnsi="Times New Roman" w:cs="Times New Roman"/>
          <w:sz w:val="24"/>
          <w:szCs w:val="32"/>
        </w:rPr>
        <w:t>4</w:t>
      </w:r>
      <w:r>
        <w:rPr>
          <w:rFonts w:ascii="Times New Roman" w:eastAsia="宋体" w:hAnsi="Times New Roman" w:cs="Times New Roman"/>
          <w:sz w:val="24"/>
          <w:szCs w:val="32"/>
        </w:rPr>
        <w:t>）获奖证书及复印件。</w:t>
      </w:r>
    </w:p>
    <w:p w:rsidR="004526DF" w:rsidRDefault="000F4262">
      <w:pPr>
        <w:spacing w:after="120" w:line="279" w:lineRule="auto"/>
        <w:ind w:firstLine="480"/>
        <w:jc w:val="both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3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/>
          <w:sz w:val="24"/>
          <w:szCs w:val="32"/>
        </w:rPr>
        <w:t>申请人申请材料交至各学院，学院根据申请资格与条件对申请人进行筛选、排序并填写《南京邮电大学本科生海外访学申请汇总表》（附件</w:t>
      </w:r>
      <w:r w:rsidR="000D378A">
        <w:rPr>
          <w:rFonts w:ascii="Times New Roman" w:eastAsia="宋体" w:hAnsi="Times New Roman" w:cs="Times New Roman"/>
          <w:sz w:val="24"/>
          <w:szCs w:val="32"/>
        </w:rPr>
        <w:t>2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32"/>
        </w:rPr>
        <w:t>），于</w:t>
      </w:r>
      <w:r>
        <w:rPr>
          <w:rFonts w:ascii="Times New Roman" w:eastAsia="宋体" w:hAnsi="Times New Roman" w:cs="Times New Roman" w:hint="eastAsia"/>
          <w:sz w:val="24"/>
          <w:szCs w:val="32"/>
        </w:rPr>
        <w:t>11</w:t>
      </w:r>
      <w:r>
        <w:rPr>
          <w:rFonts w:ascii="Times New Roman" w:eastAsia="宋体" w:hAnsi="Times New Roman" w:cs="Times New Roman"/>
          <w:sz w:val="24"/>
          <w:szCs w:val="32"/>
        </w:rPr>
        <w:t>月</w:t>
      </w:r>
      <w:r>
        <w:rPr>
          <w:rFonts w:ascii="Times New Roman" w:eastAsia="宋体" w:hAnsi="Times New Roman" w:cs="Times New Roman" w:hint="eastAsia"/>
          <w:sz w:val="24"/>
          <w:szCs w:val="32"/>
        </w:rPr>
        <w:t>28</w:t>
      </w:r>
      <w:r>
        <w:rPr>
          <w:rFonts w:ascii="Times New Roman" w:eastAsia="宋体" w:hAnsi="Times New Roman" w:cs="Times New Roman"/>
          <w:sz w:val="24"/>
          <w:szCs w:val="32"/>
        </w:rPr>
        <w:lastRenderedPageBreak/>
        <w:t>日</w:t>
      </w:r>
      <w:r>
        <w:rPr>
          <w:rFonts w:ascii="Times New Roman" w:eastAsia="宋体" w:hAnsi="Times New Roman" w:cs="Times New Roman"/>
          <w:sz w:val="24"/>
          <w:szCs w:val="32"/>
        </w:rPr>
        <w:t>前将候选人申请材料及汇总表交至教务处实践教学科，逾期不递交材料的学院作自动放弃处理。</w:t>
      </w:r>
    </w:p>
    <w:p w:rsidR="004526DF" w:rsidRDefault="000F4262">
      <w:pPr>
        <w:spacing w:after="120" w:line="279" w:lineRule="auto"/>
        <w:ind w:firstLine="480"/>
        <w:jc w:val="both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4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/>
          <w:sz w:val="24"/>
          <w:szCs w:val="32"/>
        </w:rPr>
        <w:t>教务处会同相关部门，共同组织专家进行评审，确定我校参加该项目的学生名单，并进行公示。</w:t>
      </w:r>
    </w:p>
    <w:p w:rsidR="004526DF" w:rsidRDefault="000F4262">
      <w:pPr>
        <w:pStyle w:val="2"/>
        <w:widowControl w:val="0"/>
        <w:adjustRightInd w:val="0"/>
        <w:snapToGrid w:val="0"/>
        <w:spacing w:beforeLines="50" w:before="120" w:line="279" w:lineRule="auto"/>
        <w:jc w:val="both"/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</w:pPr>
      <w:r>
        <w:rPr>
          <w:rFonts w:ascii="Times New Roman" w:eastAsia="宋体" w:hAnsi="Times New Roman" w:cstheme="minorBidi"/>
          <w:b/>
          <w:kern w:val="2"/>
          <w:sz w:val="28"/>
          <w:szCs w:val="28"/>
        </w:rPr>
        <w:t>七</w:t>
      </w:r>
      <w:r>
        <w:rPr>
          <w:rFonts w:ascii="Times New Roman" w:eastAsia="宋体" w:hAnsi="Times New Roman" w:cstheme="minorBidi"/>
          <w:b/>
          <w:kern w:val="2"/>
          <w:sz w:val="28"/>
          <w:szCs w:val="28"/>
          <w:lang w:eastAsia="zh-Hans"/>
        </w:rPr>
        <w:t>、其他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1</w:t>
      </w:r>
      <w:r>
        <w:rPr>
          <w:rFonts w:ascii="Times New Roman" w:eastAsia="宋体" w:hAnsi="Times New Roman" w:cs="Times New Roman" w:hint="eastAsia"/>
          <w:sz w:val="24"/>
          <w:szCs w:val="32"/>
        </w:rPr>
        <w:t xml:space="preserve">. </w:t>
      </w:r>
      <w:r>
        <w:rPr>
          <w:rFonts w:ascii="Times New Roman" w:eastAsia="宋体" w:hAnsi="Times New Roman" w:cs="Times New Roman"/>
          <w:sz w:val="24"/>
          <w:szCs w:val="32"/>
        </w:rPr>
        <w:t>联系人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国际处侍老师</w:t>
      </w:r>
      <w:r>
        <w:rPr>
          <w:rFonts w:ascii="Times New Roman" w:eastAsia="宋体" w:hAnsi="Times New Roman" w:cs="Times New Roman"/>
          <w:sz w:val="24"/>
          <w:szCs w:val="32"/>
        </w:rPr>
        <w:t xml:space="preserve">025-83492393 </w:t>
      </w:r>
    </w:p>
    <w:p w:rsidR="004526DF" w:rsidRDefault="000F4262">
      <w:pPr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教务处于老师</w:t>
      </w:r>
      <w:r>
        <w:rPr>
          <w:rFonts w:ascii="Times New Roman" w:eastAsia="宋体" w:hAnsi="Times New Roman" w:cs="Times New Roman"/>
          <w:sz w:val="24"/>
          <w:szCs w:val="32"/>
        </w:rPr>
        <w:t>025-85866258</w:t>
      </w:r>
    </w:p>
    <w:p w:rsidR="004526DF" w:rsidRDefault="000F4262">
      <w:pPr>
        <w:numPr>
          <w:ilvl w:val="0"/>
          <w:numId w:val="9"/>
        </w:numPr>
        <w:tabs>
          <w:tab w:val="clear" w:pos="312"/>
          <w:tab w:val="left" w:pos="-168"/>
        </w:tabs>
        <w:spacing w:after="120" w:line="279" w:lineRule="auto"/>
        <w:ind w:firstLine="480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被录取学生如需交纳其他材料将另行通知。</w:t>
      </w:r>
    </w:p>
    <w:p w:rsidR="004526DF" w:rsidRDefault="004526DF">
      <w:pPr>
        <w:spacing w:after="120" w:line="400" w:lineRule="exact"/>
        <w:ind w:firstLine="480"/>
        <w:rPr>
          <w:rFonts w:ascii="Times New Roman" w:eastAsia="宋体" w:hAnsi="Times New Roman" w:cs="Times New Roman"/>
        </w:rPr>
      </w:pPr>
    </w:p>
    <w:p w:rsidR="004526DF" w:rsidRDefault="000F4262">
      <w:pPr>
        <w:spacing w:after="120" w:line="400" w:lineRule="exact"/>
        <w:ind w:firstLine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国际合作交流处</w:t>
      </w:r>
    </w:p>
    <w:p w:rsidR="004526DF" w:rsidRDefault="000F4262">
      <w:pPr>
        <w:spacing w:after="120" w:line="400" w:lineRule="exact"/>
        <w:ind w:firstLine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2025</w:t>
      </w:r>
      <w:r>
        <w:rPr>
          <w:rFonts w:ascii="Times New Roman" w:eastAsia="宋体" w:hAnsi="Times New Roman" w:cs="Times New Roman"/>
          <w:sz w:val="24"/>
        </w:rPr>
        <w:t>年</w:t>
      </w:r>
      <w:r>
        <w:rPr>
          <w:rFonts w:ascii="Times New Roman" w:eastAsia="宋体" w:hAnsi="Times New Roman" w:cs="Times New Roman"/>
          <w:sz w:val="24"/>
        </w:rPr>
        <w:t>10</w:t>
      </w:r>
      <w:r>
        <w:rPr>
          <w:rFonts w:ascii="Times New Roman" w:eastAsia="宋体" w:hAnsi="Times New Roman" w:cs="Times New Roman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>23</w:t>
      </w:r>
      <w:r>
        <w:rPr>
          <w:rFonts w:ascii="Times New Roman" w:eastAsia="宋体" w:hAnsi="Times New Roman" w:cs="Times New Roman"/>
          <w:sz w:val="24"/>
        </w:rPr>
        <w:t>日</w:t>
      </w:r>
    </w:p>
    <w:p w:rsidR="004526DF" w:rsidRDefault="004526DF">
      <w:pPr>
        <w:spacing w:after="120"/>
        <w:rPr>
          <w:rFonts w:ascii="Times New Roman" w:eastAsia="宋体" w:hAnsi="Times New Roman" w:cs="Times New Roman"/>
          <w:color w:val="000000" w:themeColor="text1"/>
        </w:rPr>
      </w:pPr>
    </w:p>
    <w:sectPr w:rsidR="004526DF">
      <w:pgSz w:w="12240" w:h="15840"/>
      <w:pgMar w:top="1440" w:right="1800" w:bottom="1440" w:left="180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62" w:rsidRDefault="000F4262">
      <w:pPr>
        <w:spacing w:line="240" w:lineRule="auto"/>
      </w:pPr>
      <w:r>
        <w:separator/>
      </w:r>
    </w:p>
  </w:endnote>
  <w:endnote w:type="continuationSeparator" w:id="0">
    <w:p w:rsidR="000F4262" w:rsidRDefault="000F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62" w:rsidRDefault="000F4262">
      <w:pPr>
        <w:spacing w:line="240" w:lineRule="auto"/>
      </w:pPr>
      <w:r>
        <w:separator/>
      </w:r>
    </w:p>
  </w:footnote>
  <w:footnote w:type="continuationSeparator" w:id="0">
    <w:p w:rsidR="000F4262" w:rsidRDefault="000F42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969"/>
    <w:multiLevelType w:val="multilevel"/>
    <w:tmpl w:val="05F65969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D895490"/>
    <w:multiLevelType w:val="multilevel"/>
    <w:tmpl w:val="1D895490"/>
    <w:lvl w:ilvl="0">
      <w:start w:val="3"/>
      <w:numFmt w:val="bullet"/>
      <w:lvlText w:val=""/>
      <w:lvlJc w:val="left"/>
      <w:pPr>
        <w:ind w:left="440" w:hanging="440"/>
      </w:pPr>
      <w:rPr>
        <w:rFonts w:ascii="Wingdings" w:eastAsia="仿宋" w:hAnsi="Wingdings" w:cs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1B0A93"/>
    <w:multiLevelType w:val="singleLevel"/>
    <w:tmpl w:val="421B0A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46CA6A34"/>
    <w:multiLevelType w:val="multilevel"/>
    <w:tmpl w:val="46CA6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0C0BAD"/>
    <w:multiLevelType w:val="multilevel"/>
    <w:tmpl w:val="4D0C0BAD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7A64092"/>
    <w:multiLevelType w:val="multilevel"/>
    <w:tmpl w:val="57A64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72441C"/>
    <w:multiLevelType w:val="multilevel"/>
    <w:tmpl w:val="5C7244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150C65"/>
    <w:multiLevelType w:val="multilevel"/>
    <w:tmpl w:val="71150C65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5937DB3"/>
    <w:multiLevelType w:val="singleLevel"/>
    <w:tmpl w:val="75937DB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30"/>
    <w:rsid w:val="000D378A"/>
    <w:rsid w:val="000F0324"/>
    <w:rsid w:val="000F4262"/>
    <w:rsid w:val="001946D8"/>
    <w:rsid w:val="002A5848"/>
    <w:rsid w:val="00391D0A"/>
    <w:rsid w:val="004526DF"/>
    <w:rsid w:val="004C44B0"/>
    <w:rsid w:val="00527130"/>
    <w:rsid w:val="00541148"/>
    <w:rsid w:val="005A3E1A"/>
    <w:rsid w:val="00613316"/>
    <w:rsid w:val="007668AC"/>
    <w:rsid w:val="007E1BE3"/>
    <w:rsid w:val="009122DD"/>
    <w:rsid w:val="00A32255"/>
    <w:rsid w:val="00D843AF"/>
    <w:rsid w:val="118E5C8F"/>
    <w:rsid w:val="653C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8BF287-E93C-49E6-9F58-9954E449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7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482</Words>
  <Characters>2752</Characters>
  <Application>Microsoft Office Word</Application>
  <DocSecurity>0</DocSecurity>
  <Lines>22</Lines>
  <Paragraphs>6</Paragraphs>
  <ScaleCrop>false</ScaleCrop>
  <Company>P R C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hyr</dc:creator>
  <cp:lastModifiedBy>Windows User</cp:lastModifiedBy>
  <cp:revision>11</cp:revision>
  <dcterms:created xsi:type="dcterms:W3CDTF">2025-09-17T03:03:00Z</dcterms:created>
  <dcterms:modified xsi:type="dcterms:W3CDTF">2025-10-23T05:58:00Z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eyJoZGlkIjoiZGY3OGUxZmI5YzZlY2Q4ODQ3N2I0MDcyMWYxOWM0OTYiLCJ1c2VySWQiOiIxNTQ3MDY3MDU5In0=</vt:lpwstr>
  </property>
  <property fmtid="{D5CDD505-2E9C-101B-9397-08002B2CF9AE}" pid="3" name="KSOProductBuildVer">
    <vt:lpwstr>2052-11.1.0.10667</vt:lpwstr>
  </property>
  <property fmtid="{D5CDD505-2E9C-101B-9397-08002B2CF9AE}" pid="4" name="ICV">
    <vt:lpwstr>B985B65084FF43A88447B73C19F25F83</vt:lpwstr>
  </property>
</Properties>
</file>