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adjustRightInd w:val="0"/>
        <w:snapToGrid w:val="0"/>
        <w:spacing w:line="600" w:lineRule="exact"/>
        <w:jc w:val="center"/>
        <w:rPr>
          <w:rFonts w:hint="eastAsia" w:ascii="Times New Roman" w:hAnsi="Times New Roman" w:eastAsia="黑体"/>
          <w:b/>
          <w:sz w:val="36"/>
          <w:szCs w:val="36"/>
          <w:lang w:val="en-US" w:eastAsia="zh-CN"/>
        </w:rPr>
      </w:pPr>
      <w:r>
        <w:rPr>
          <w:rFonts w:hint="eastAsia" w:ascii="Times New Roman" w:hAnsi="Times New Roman" w:eastAsia="黑体"/>
          <w:b/>
          <w:sz w:val="36"/>
          <w:szCs w:val="36"/>
          <w:lang w:val="en-US" w:eastAsia="zh-CN"/>
        </w:rPr>
        <w:t>2025年秋高校混合式精品通识课程联盟</w:t>
      </w:r>
    </w:p>
    <w:p>
      <w:pPr>
        <w:numPr>
          <w:ilvl w:val="0"/>
          <w:numId w:val="0"/>
        </w:numPr>
        <w:adjustRightInd w:val="0"/>
        <w:snapToGrid w:val="0"/>
        <w:spacing w:line="600" w:lineRule="exact"/>
        <w:jc w:val="center"/>
        <w:rPr>
          <w:rFonts w:hint="eastAsia" w:ascii="Times New Roman" w:hAnsi="Times New Roman" w:eastAsia="黑体"/>
          <w:b/>
          <w:sz w:val="36"/>
          <w:szCs w:val="36"/>
          <w:lang w:val="en-US" w:eastAsia="zh-CN"/>
        </w:rPr>
      </w:pPr>
      <w:r>
        <w:rPr>
          <w:rFonts w:hint="eastAsia" w:ascii="Times New Roman" w:hAnsi="Times New Roman" w:eastAsia="黑体"/>
          <w:b/>
          <w:sz w:val="36"/>
          <w:szCs w:val="36"/>
          <w:lang w:val="en-US" w:eastAsia="zh-CN"/>
        </w:rPr>
        <w:t>开设课程简介</w:t>
      </w:r>
    </w:p>
    <w:p>
      <w:pPr>
        <w:numPr>
          <w:ilvl w:val="0"/>
          <w:numId w:val="0"/>
        </w:numPr>
        <w:adjustRightInd w:val="0"/>
        <w:snapToGrid w:val="0"/>
        <w:spacing w:line="600" w:lineRule="exact"/>
        <w:rPr>
          <w:rFonts w:hint="eastAsia" w:ascii="Times New Roman" w:hAnsi="Times New Roman" w:eastAsia="黑体"/>
          <w:b/>
          <w:sz w:val="28"/>
          <w:szCs w:val="28"/>
          <w:lang w:eastAsia="zh-CN"/>
        </w:rPr>
      </w:pPr>
      <w:r>
        <w:rPr>
          <w:rFonts w:hint="eastAsia" w:ascii="Times New Roman" w:hAnsi="Times New Roman" w:eastAsia="黑体"/>
          <w:b/>
          <w:sz w:val="28"/>
          <w:szCs w:val="28"/>
          <w:lang w:val="en-US" w:eastAsia="zh-CN"/>
        </w:rPr>
        <w:t>1.</w:t>
      </w:r>
      <w:r>
        <w:rPr>
          <w:rFonts w:hint="eastAsia" w:ascii="Times New Roman" w:hAnsi="Times New Roman" w:eastAsia="黑体"/>
          <w:b/>
          <w:sz w:val="28"/>
          <w:szCs w:val="28"/>
        </w:rPr>
        <w:t>无人机设计导论（Introduction to UAV Design）</w:t>
      </w:r>
      <w:r>
        <w:rPr>
          <w:rFonts w:hint="eastAsia" w:ascii="Times New Roman" w:hAnsi="Times New Roman" w:eastAsia="黑体"/>
          <w:b/>
          <w:sz w:val="28"/>
          <w:szCs w:val="28"/>
          <w:lang w:eastAsia="zh-CN"/>
        </w:rPr>
        <w:t>（</w:t>
      </w:r>
      <w:r>
        <w:rPr>
          <w:rFonts w:hint="eastAsia" w:ascii="Times New Roman" w:hAnsi="Times New Roman" w:eastAsia="黑体"/>
          <w:b/>
          <w:sz w:val="28"/>
          <w:szCs w:val="28"/>
          <w:lang w:val="en-US" w:eastAsia="zh-CN"/>
        </w:rPr>
        <w:t>南航</w:t>
      </w:r>
      <w:r>
        <w:rPr>
          <w:rFonts w:hint="eastAsia" w:ascii="Times New Roman" w:hAnsi="Times New Roman" w:eastAsia="黑体"/>
          <w:b/>
          <w:sz w:val="28"/>
          <w:szCs w:val="28"/>
          <w:lang w:eastAsia="zh-CN"/>
        </w:rPr>
        <w:t>）</w:t>
      </w:r>
    </w:p>
    <w:p>
      <w:pPr>
        <w:adjustRightInd w:val="0"/>
        <w:snapToGrid w:val="0"/>
        <w:spacing w:line="600" w:lineRule="exact"/>
        <w:ind w:firstLine="562" w:firstLineChars="200"/>
        <w:rPr>
          <w:rFonts w:ascii="Times New Roman" w:hAnsi="Times New Roman" w:eastAsia="仿宋_GB2312"/>
          <w:bCs/>
          <w:sz w:val="28"/>
          <w:szCs w:val="28"/>
        </w:rPr>
      </w:pPr>
      <w:r>
        <w:rPr>
          <w:rFonts w:ascii="Times New Roman" w:hAnsi="Times New Roman" w:eastAsia="仿宋_GB2312"/>
          <w:b/>
          <w:sz w:val="28"/>
          <w:szCs w:val="28"/>
        </w:rPr>
        <w:t>课程简介</w:t>
      </w:r>
      <w:r>
        <w:rPr>
          <w:rFonts w:ascii="Times New Roman" w:hAnsi="Times New Roman" w:eastAsia="仿宋_GB2312"/>
          <w:bCs/>
          <w:sz w:val="28"/>
          <w:szCs w:val="28"/>
        </w:rPr>
        <w:t>：</w:t>
      </w:r>
      <w:r>
        <w:rPr>
          <w:rFonts w:hint="eastAsia" w:ascii="Times New Roman" w:hAnsi="Times New Roman" w:eastAsia="仿宋_GB2312"/>
          <w:bCs/>
          <w:sz w:val="28"/>
          <w:szCs w:val="28"/>
        </w:rPr>
        <w:t>过去，没有单独的无人机专业和课程。无人机与常规的有人飞行器在技术上有很多不同内容和特点，为了适应我国无人机发展的需要，专门开设无人机系列课程，其中“无人机设计导论”为无人机课程的先导和总体设计课程。本课程使学生对无人机设计有较全面的了解，为培养从事无人机技术工程技术人才建立基础。</w:t>
      </w:r>
    </w:p>
    <w:p>
      <w:pPr>
        <w:adjustRightInd w:val="0"/>
        <w:snapToGrid w:val="0"/>
        <w:spacing w:line="600" w:lineRule="exact"/>
        <w:ind w:firstLine="562"/>
        <w:jc w:val="left"/>
        <w:rPr>
          <w:rFonts w:ascii="Times New Roman" w:hAnsi="Times New Roman" w:eastAsia="仿宋_GB2312"/>
          <w:sz w:val="28"/>
          <w:szCs w:val="28"/>
        </w:rPr>
      </w:pPr>
      <w:r>
        <w:rPr>
          <w:rFonts w:hint="eastAsia" w:ascii="Times New Roman" w:hAnsi="Times New Roman" w:eastAsia="仿宋_GB2312"/>
          <w:b/>
          <w:bCs/>
          <w:sz w:val="28"/>
          <w:szCs w:val="28"/>
        </w:rPr>
        <w:t>学习要求</w:t>
      </w:r>
      <w:r>
        <w:rPr>
          <w:rFonts w:hint="eastAsia" w:ascii="Times New Roman" w:hAnsi="Times New Roman" w:eastAsia="仿宋_GB2312"/>
          <w:sz w:val="28"/>
          <w:szCs w:val="28"/>
        </w:rPr>
        <w:t>：</w:t>
      </w:r>
      <w:r>
        <w:rPr>
          <w:rFonts w:ascii="Times New Roman" w:hAnsi="Times New Roman" w:eastAsia="仿宋_GB2312"/>
          <w:sz w:val="28"/>
          <w:szCs w:val="28"/>
        </w:rPr>
        <w:t>选课学生通过超星学习通平台，在线学习教学视频，完成单元测试，参加期末线上考试。加入课程QQ群，接收课程信息，实名参与课程答疑和交流研讨。</w:t>
      </w:r>
    </w:p>
    <w:p>
      <w:pPr>
        <w:numPr>
          <w:ilvl w:val="0"/>
          <w:numId w:val="0"/>
        </w:numPr>
        <w:adjustRightInd w:val="0"/>
        <w:snapToGrid w:val="0"/>
        <w:spacing w:line="600" w:lineRule="exact"/>
        <w:jc w:val="left"/>
        <w:rPr>
          <w:rFonts w:hint="eastAsia" w:ascii="Times New Roman" w:hAnsi="Times New Roman" w:eastAsia="黑体"/>
          <w:b/>
          <w:sz w:val="28"/>
          <w:szCs w:val="28"/>
          <w:lang w:val="en-US" w:eastAsia="zh-CN"/>
        </w:rPr>
      </w:pPr>
    </w:p>
    <w:p>
      <w:pPr>
        <w:numPr>
          <w:ilvl w:val="0"/>
          <w:numId w:val="0"/>
        </w:numPr>
        <w:adjustRightInd w:val="0"/>
        <w:snapToGrid w:val="0"/>
        <w:spacing w:line="600" w:lineRule="exact"/>
        <w:jc w:val="left"/>
        <w:rPr>
          <w:rFonts w:hint="eastAsia" w:ascii="Times New Roman" w:hAnsi="Times New Roman" w:eastAsia="黑体"/>
          <w:b/>
          <w:sz w:val="28"/>
          <w:szCs w:val="28"/>
          <w:lang w:eastAsia="zh-CN"/>
        </w:rPr>
      </w:pPr>
      <w:r>
        <w:rPr>
          <w:rFonts w:hint="eastAsia" w:ascii="Times New Roman" w:hAnsi="Times New Roman" w:eastAsia="黑体"/>
          <w:b/>
          <w:sz w:val="28"/>
          <w:szCs w:val="28"/>
          <w:lang w:val="en-US" w:eastAsia="zh-CN"/>
        </w:rPr>
        <w:t>2.</w:t>
      </w:r>
      <w:r>
        <w:rPr>
          <w:rFonts w:hint="eastAsia" w:ascii="Times New Roman" w:hAnsi="Times New Roman" w:eastAsia="黑体"/>
          <w:b/>
          <w:sz w:val="28"/>
          <w:szCs w:val="28"/>
        </w:rPr>
        <w:t>一带一路与全球健康（ </w:t>
      </w:r>
      <w:r>
        <w:rPr>
          <w:rFonts w:ascii="Times New Roman" w:hAnsi="Times New Roman" w:eastAsia="黑体"/>
          <w:b/>
          <w:sz w:val="28"/>
          <w:szCs w:val="28"/>
        </w:rPr>
        <w:t>The Belt and Road Initiative and global health </w:t>
      </w:r>
      <w:r>
        <w:rPr>
          <w:rFonts w:hint="eastAsia" w:ascii="Times New Roman" w:hAnsi="Times New Roman" w:eastAsia="黑体"/>
          <w:b/>
          <w:sz w:val="28"/>
          <w:szCs w:val="28"/>
        </w:rPr>
        <w:t xml:space="preserve"> ）</w:t>
      </w:r>
      <w:r>
        <w:rPr>
          <w:rFonts w:hint="eastAsia" w:ascii="Times New Roman" w:hAnsi="Times New Roman" w:eastAsia="黑体"/>
          <w:b/>
          <w:sz w:val="28"/>
          <w:szCs w:val="28"/>
          <w:lang w:eastAsia="zh-CN"/>
        </w:rPr>
        <w:t>（南医大）</w:t>
      </w:r>
    </w:p>
    <w:p>
      <w:pPr>
        <w:wordWrap w:val="0"/>
        <w:adjustRightInd w:val="0"/>
        <w:snapToGrid w:val="0"/>
        <w:spacing w:line="600" w:lineRule="exact"/>
        <w:ind w:firstLine="562" w:firstLineChars="200"/>
        <w:jc w:val="left"/>
        <w:rPr>
          <w:rFonts w:ascii="Times New Roman" w:hAnsi="Times New Roman" w:eastAsia="仿宋_GB2312"/>
          <w:sz w:val="28"/>
          <w:szCs w:val="28"/>
        </w:rPr>
      </w:pPr>
      <w:r>
        <w:rPr>
          <w:rFonts w:ascii="仿宋_GB2312" w:hAnsi="仿宋_GB2312" w:eastAsia="仿宋_GB2312"/>
          <w:b/>
          <w:bCs/>
          <w:color w:val="000000"/>
          <w:sz w:val="28"/>
          <w:szCs w:val="28"/>
        </w:rPr>
        <w:t>课程简介：</w:t>
      </w:r>
      <w:r>
        <w:rPr>
          <w:rFonts w:hint="eastAsia" w:ascii="Times New Roman" w:hAnsi="Times New Roman" w:eastAsia="仿宋_GB2312"/>
          <w:sz w:val="28"/>
          <w:szCs w:val="28"/>
        </w:rPr>
        <w:t>2013年，习近平主席提出共建丝绸之路经济带和21世纪海上丝绸之路重大倡议，以2013年金秋为起点，“一带一路”作为承载时代使命的世纪工程，掀开了世界发展进程的新一页，成为构建人类命运共同体的伟大实践。伴随“一带一路”倡议，全球健康（Global Health）成为国际社会关注的广泛性议题。2019年底以来，新型冠状病毒在全球范围内肆虐，成为全世界关注的焦点，人们对国家乃至全球的公共卫生问题都有了新的认识，对医学通识教育的需求日益凸显。</w:t>
      </w:r>
    </w:p>
    <w:p>
      <w:pPr>
        <w:wordWrap w:val="0"/>
        <w:adjustRightInd w:val="0"/>
        <w:snapToGrid w:val="0"/>
        <w:spacing w:line="60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一带一路与全球健康》课程是面向所有大学生（包括非医学专业学生）开设的一门医学通识教育课。该课程是在“一带一路”建设和构建人类命运共同体的大背景下，结合高校医学通识教育需求，主要探讨一些传染性疾病和非传染性疾病在一带一路沿线国家的流行特点与防控方法。课程通过整合优质教学资源，引导大学生关注全球卫生领域的重大卫生问题，是医学高等教育通过响应国家“一带一路”倡议、“非洲发展战略”、健康中国建设践行社会服务的重要体现。本课程依托南京医科大学公共卫生与预防医学A+学科，整合基础、临床、人文等学科的一流师资，将全球一体化与传染病流行、慢性病防治、行为生活方式与健康等重要公共卫生问题纳入教学内容，培养学生全球健康、全球治理的宏观公共卫生理念。</w:t>
      </w:r>
    </w:p>
    <w:p>
      <w:pPr>
        <w:wordWrap w:val="0"/>
        <w:adjustRightInd w:val="0"/>
        <w:snapToGrid w:val="0"/>
        <w:spacing w:line="60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本课程在一带一路和构建人类命运共同体的大背景下，探讨一些重要传染性疾病和非传染性疾病在一带一路沿线国家的流行规律与防控原则，关注全球卫生领域重大公共卫生问题，培养学生宏观公共卫生、全球健康、全球治理的理念和方法。</w:t>
      </w:r>
    </w:p>
    <w:p>
      <w:pPr>
        <w:adjustRightInd w:val="0"/>
        <w:snapToGrid w:val="0"/>
        <w:spacing w:line="600" w:lineRule="exact"/>
        <w:jc w:val="left"/>
        <w:rPr>
          <w:rFonts w:hint="eastAsia" w:ascii="Times New Roman" w:hAnsi="Times New Roman" w:eastAsia="黑体"/>
          <w:b/>
          <w:sz w:val="28"/>
          <w:szCs w:val="28"/>
          <w:lang w:val="en-US" w:eastAsia="zh-CN"/>
        </w:rPr>
      </w:pPr>
    </w:p>
    <w:p>
      <w:pPr>
        <w:adjustRightInd w:val="0"/>
        <w:snapToGrid w:val="0"/>
        <w:spacing w:line="600" w:lineRule="exact"/>
        <w:jc w:val="left"/>
        <w:rPr>
          <w:rFonts w:hint="eastAsia" w:ascii="Times New Roman" w:hAnsi="Times New Roman" w:eastAsia="黑体"/>
          <w:b/>
          <w:sz w:val="28"/>
          <w:szCs w:val="28"/>
          <w:lang w:eastAsia="zh-CN"/>
        </w:rPr>
      </w:pPr>
      <w:r>
        <w:rPr>
          <w:rFonts w:hint="eastAsia" w:ascii="Times New Roman" w:hAnsi="Times New Roman" w:eastAsia="黑体"/>
          <w:b/>
          <w:sz w:val="28"/>
          <w:szCs w:val="28"/>
          <w:lang w:val="en-US" w:eastAsia="zh-CN"/>
        </w:rPr>
        <w:t>3.</w:t>
      </w:r>
      <w:r>
        <w:rPr>
          <w:rFonts w:hint="eastAsia" w:ascii="Times New Roman" w:hAnsi="Times New Roman" w:eastAsia="黑体"/>
          <w:b/>
          <w:sz w:val="28"/>
          <w:szCs w:val="28"/>
        </w:rPr>
        <w:t>揭秘大气污染（Exploring Air Pollution）</w:t>
      </w:r>
      <w:r>
        <w:rPr>
          <w:rFonts w:hint="eastAsia" w:ascii="Times New Roman" w:hAnsi="Times New Roman" w:eastAsia="黑体"/>
          <w:b/>
          <w:sz w:val="28"/>
          <w:szCs w:val="28"/>
          <w:lang w:eastAsia="zh-CN"/>
        </w:rPr>
        <w:t>（南信大）</w:t>
      </w:r>
    </w:p>
    <w:p>
      <w:pPr>
        <w:spacing w:line="600" w:lineRule="exact"/>
        <w:ind w:firstLine="562" w:firstLineChars="200"/>
        <w:rPr>
          <w:rFonts w:ascii="Times New Roman" w:hAnsi="Times New Roman" w:eastAsia="仿宋_GB2312"/>
          <w:sz w:val="28"/>
          <w:szCs w:val="28"/>
        </w:rPr>
      </w:pPr>
      <w:r>
        <w:rPr>
          <w:rFonts w:hint="eastAsia" w:ascii="Times New Roman" w:hAnsi="Times New Roman" w:eastAsia="仿宋_GB2312"/>
          <w:b/>
          <w:sz w:val="28"/>
          <w:szCs w:val="28"/>
        </w:rPr>
        <w:t>课程简介</w:t>
      </w:r>
      <w:r>
        <w:rPr>
          <w:rFonts w:hint="eastAsia" w:ascii="Times New Roman" w:hAnsi="Times New Roman" w:eastAsia="仿宋_GB2312"/>
          <w:bCs/>
          <w:sz w:val="28"/>
          <w:szCs w:val="28"/>
        </w:rPr>
        <w:t>：</w:t>
      </w:r>
      <w:r>
        <w:rPr>
          <w:rFonts w:hint="eastAsia" w:ascii="Times New Roman" w:hAnsi="Times New Roman" w:eastAsia="仿宋_GB2312"/>
          <w:sz w:val="28"/>
          <w:szCs w:val="28"/>
        </w:rPr>
        <w:t>空气污染作为“心肺之患”已成为当下社会高度关注的热点问题。那么，你知道吗？保护人类免受宇宙辐射影响的臭氧为何跑到地面就被称为“蓝天下的杀手”？南极春天上空臭氧层为什么会有一个“洞”？这个“洞”到底有多大？这其中到底隐藏着什么奥秘？</w:t>
      </w:r>
    </w:p>
    <w:p>
      <w:pPr>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让我们一起走进</w:t>
      </w:r>
      <w:r>
        <w:rPr>
          <w:rFonts w:hint="eastAsia" w:ascii="Times New Roman" w:hAnsi="Times New Roman" w:eastAsia="仿宋_GB2312"/>
          <w:bCs/>
          <w:sz w:val="28"/>
          <w:szCs w:val="28"/>
        </w:rPr>
        <w:t>全国气象教学名师、南京信息工程大学朱彬教授团队打造的精品课程——《揭秘大气污染》！</w:t>
      </w:r>
      <w:r>
        <w:rPr>
          <w:rFonts w:hint="eastAsia" w:ascii="Times New Roman" w:hAnsi="Times New Roman" w:eastAsia="仿宋_GB2312"/>
          <w:sz w:val="28"/>
          <w:szCs w:val="28"/>
        </w:rPr>
        <w:t>在这里你不仅可以了解大气污染物的来源与去向、好臭氧与坏臭氧、酸雨及其危害、大气气溶胶的概念与粒径表征；还可以加深对我国大气污染现状、成因和控制策略的认识；最重要的是能为将来从事大气环境质量评价、大气环境保护、空气污染预报等相关工作打下理论基础哦！</w:t>
      </w:r>
    </w:p>
    <w:p>
      <w:pPr>
        <w:spacing w:line="600" w:lineRule="exact"/>
        <w:ind w:firstLine="562" w:firstLineChars="200"/>
        <w:rPr>
          <w:rFonts w:ascii="Times New Roman" w:hAnsi="Times New Roman" w:eastAsia="仿宋_GB2312"/>
          <w:sz w:val="28"/>
          <w:szCs w:val="28"/>
        </w:rPr>
      </w:pPr>
      <w:r>
        <w:rPr>
          <w:rFonts w:hint="eastAsia" w:ascii="Times New Roman" w:hAnsi="Times New Roman" w:eastAsia="仿宋_GB2312"/>
          <w:b/>
          <w:bCs/>
          <w:sz w:val="28"/>
          <w:szCs w:val="28"/>
        </w:rPr>
        <w:t>学习要求</w:t>
      </w:r>
      <w:r>
        <w:rPr>
          <w:rFonts w:hint="eastAsia" w:ascii="Times New Roman" w:hAnsi="Times New Roman" w:eastAsia="仿宋_GB2312"/>
          <w:sz w:val="28"/>
          <w:szCs w:val="28"/>
        </w:rPr>
        <w:t>：</w:t>
      </w:r>
      <w:r>
        <w:rPr>
          <w:rFonts w:ascii="Times New Roman" w:hAnsi="Times New Roman" w:eastAsia="仿宋_GB2312"/>
          <w:sz w:val="28"/>
          <w:szCs w:val="28"/>
        </w:rPr>
        <w:t>通过在线学习视频与讲义PPT，参与问题研讨、完成测验与作业、参加期末线上考试。如有疑问，可通过QQ群交流研讨。</w:t>
      </w:r>
    </w:p>
    <w:p>
      <w:pPr>
        <w:numPr>
          <w:ilvl w:val="0"/>
          <w:numId w:val="0"/>
        </w:numPr>
        <w:spacing w:line="600" w:lineRule="exact"/>
        <w:rPr>
          <w:rFonts w:hint="eastAsia" w:ascii="Times New Roman" w:hAnsi="Times New Roman" w:eastAsia="黑体"/>
          <w:b/>
          <w:sz w:val="28"/>
          <w:szCs w:val="28"/>
        </w:rPr>
      </w:pPr>
    </w:p>
    <w:p>
      <w:pPr>
        <w:numPr>
          <w:ilvl w:val="0"/>
          <w:numId w:val="0"/>
        </w:numPr>
        <w:spacing w:line="600" w:lineRule="exact"/>
        <w:rPr>
          <w:rFonts w:hint="eastAsia" w:ascii="Times New Roman" w:hAnsi="Times New Roman" w:eastAsia="黑体"/>
          <w:b/>
          <w:sz w:val="28"/>
          <w:szCs w:val="28"/>
          <w:lang w:eastAsia="zh-CN"/>
        </w:rPr>
      </w:pPr>
      <w:r>
        <w:rPr>
          <w:rFonts w:hint="eastAsia" w:ascii="Times New Roman" w:hAnsi="Times New Roman" w:eastAsia="黑体"/>
          <w:b/>
          <w:sz w:val="28"/>
          <w:szCs w:val="28"/>
          <w:lang w:val="en-US" w:eastAsia="zh-CN"/>
        </w:rPr>
        <w:t>4.</w:t>
      </w:r>
      <w:r>
        <w:rPr>
          <w:rFonts w:hint="eastAsia" w:ascii="Times New Roman" w:hAnsi="Times New Roman" w:eastAsia="黑体"/>
          <w:b/>
          <w:sz w:val="28"/>
          <w:szCs w:val="28"/>
        </w:rPr>
        <w:t>美从何处寻——在艺术和生活中体验美（Where does beauty come from? Experience beauty in art and in life.）</w:t>
      </w:r>
      <w:r>
        <w:rPr>
          <w:rFonts w:hint="eastAsia" w:ascii="Times New Roman" w:hAnsi="Times New Roman" w:eastAsia="黑体"/>
          <w:b/>
          <w:sz w:val="28"/>
          <w:szCs w:val="28"/>
          <w:lang w:eastAsia="zh-CN"/>
        </w:rPr>
        <w:t>（南信大）</w:t>
      </w:r>
    </w:p>
    <w:p>
      <w:pPr>
        <w:spacing w:line="600" w:lineRule="exact"/>
        <w:ind w:firstLine="562" w:firstLineChars="200"/>
        <w:rPr>
          <w:rFonts w:ascii="Times New Roman" w:hAnsi="Times New Roman" w:eastAsia="仿宋_GB2312"/>
          <w:sz w:val="28"/>
          <w:szCs w:val="28"/>
        </w:rPr>
      </w:pPr>
      <w:r>
        <w:rPr>
          <w:rFonts w:ascii="Times New Roman" w:hAnsi="Times New Roman" w:eastAsia="仿宋_GB2312"/>
          <w:b/>
          <w:sz w:val="28"/>
          <w:szCs w:val="28"/>
        </w:rPr>
        <w:t>课程简介</w:t>
      </w:r>
      <w:r>
        <w:rPr>
          <w:rFonts w:ascii="Times New Roman" w:hAnsi="Times New Roman" w:eastAsia="仿宋_GB2312"/>
          <w:bCs/>
          <w:sz w:val="28"/>
          <w:szCs w:val="28"/>
        </w:rPr>
        <w:t>：</w:t>
      </w:r>
      <w:r>
        <w:rPr>
          <w:rFonts w:hint="eastAsia" w:ascii="Times New Roman" w:hAnsi="Times New Roman" w:eastAsia="仿宋_GB2312"/>
          <w:sz w:val="28"/>
          <w:szCs w:val="28"/>
        </w:rPr>
        <w:t>课程着重于在艺术和生活的衣食住行中体验美、感受美，同时兼顾实践能力培养及价值观塑造。创新人才的培养需要良好的人文氛围，艺术和生活的美育是培养人的感悟能力和形象思维的重要学科，美及艺术是发展人性，完善人格，提供正确的价值观和人生意义的知识。通过课堂学习，为学生提供真善美的追求，并确立正确的人文价值观的导向，帮助学生成为有理想有价值有意义服务于国家的创新人才。</w:t>
      </w:r>
    </w:p>
    <w:p>
      <w:pPr>
        <w:spacing w:line="600" w:lineRule="exact"/>
        <w:ind w:firstLine="560" w:firstLineChars="200"/>
        <w:rPr>
          <w:rFonts w:ascii="Times New Roman" w:hAnsi="Times New Roman" w:eastAsia="仿宋_GB2312"/>
          <w:sz w:val="28"/>
          <w:szCs w:val="28"/>
        </w:rPr>
      </w:pPr>
      <w:bookmarkStart w:id="0" w:name="_Hlk145414995"/>
      <w:r>
        <w:rPr>
          <w:rFonts w:hint="eastAsia" w:ascii="Times New Roman" w:hAnsi="Times New Roman" w:eastAsia="仿宋_GB2312"/>
          <w:sz w:val="28"/>
          <w:szCs w:val="28"/>
        </w:rPr>
        <w:t>课程从艺术美和生活美两个方向展开，由艺术美中的美学、绘画美、雕塑美、</w:t>
      </w:r>
      <w:r>
        <w:rPr>
          <w:rFonts w:ascii="Times New Roman" w:hAnsi="Times New Roman" w:eastAsia="仿宋_GB2312"/>
          <w:sz w:val="28"/>
          <w:szCs w:val="28"/>
        </w:rPr>
        <w:t>瓷器</w:t>
      </w:r>
      <w:r>
        <w:rPr>
          <w:rFonts w:hint="eastAsia" w:ascii="Times New Roman" w:hAnsi="Times New Roman" w:eastAsia="仿宋_GB2312"/>
          <w:sz w:val="28"/>
          <w:szCs w:val="28"/>
        </w:rPr>
        <w:t>造物美和</w:t>
      </w:r>
      <w:r>
        <w:rPr>
          <w:rFonts w:ascii="Times New Roman" w:hAnsi="Times New Roman" w:eastAsia="仿宋_GB2312"/>
          <w:sz w:val="28"/>
          <w:szCs w:val="28"/>
        </w:rPr>
        <w:t>电影</w:t>
      </w:r>
      <w:r>
        <w:rPr>
          <w:rFonts w:hint="eastAsia" w:ascii="Times New Roman" w:hAnsi="Times New Roman" w:eastAsia="仿宋_GB2312"/>
          <w:sz w:val="28"/>
          <w:szCs w:val="28"/>
        </w:rPr>
        <w:t>创意美、以及</w:t>
      </w:r>
      <w:bookmarkEnd w:id="0"/>
      <w:r>
        <w:rPr>
          <w:rFonts w:hint="eastAsia" w:ascii="Times New Roman" w:hAnsi="Times New Roman" w:eastAsia="仿宋_GB2312"/>
          <w:sz w:val="28"/>
          <w:szCs w:val="28"/>
        </w:rPr>
        <w:t>生活</w:t>
      </w:r>
      <w:r>
        <w:rPr>
          <w:rFonts w:ascii="Times New Roman" w:hAnsi="Times New Roman" w:eastAsia="仿宋_GB2312"/>
          <w:sz w:val="28"/>
          <w:szCs w:val="28"/>
        </w:rPr>
        <w:t>中</w:t>
      </w:r>
      <w:r>
        <w:rPr>
          <w:rFonts w:hint="eastAsia" w:ascii="Times New Roman" w:hAnsi="Times New Roman" w:eastAsia="仿宋_GB2312"/>
          <w:sz w:val="28"/>
          <w:szCs w:val="28"/>
        </w:rPr>
        <w:t>的服饰美、建筑美</w:t>
      </w:r>
      <w:r>
        <w:rPr>
          <w:rFonts w:ascii="Times New Roman" w:hAnsi="Times New Roman" w:eastAsia="仿宋_GB2312"/>
          <w:sz w:val="28"/>
          <w:szCs w:val="28"/>
        </w:rPr>
        <w:t>、餐饮礼仪的美来</w:t>
      </w:r>
      <w:r>
        <w:rPr>
          <w:rFonts w:hint="eastAsia" w:ascii="Times New Roman" w:hAnsi="Times New Roman" w:eastAsia="仿宋_GB2312"/>
          <w:sz w:val="28"/>
          <w:szCs w:val="28"/>
        </w:rPr>
        <w:t>感受和接近美，引导学生领略人文科学的无限风光，通过课堂学习、案例讲授等活动，加深学生对生活中“向美而生”的追求，并开阔学生的视野，培养学生追求真善美的人文素质，引导学生树立正确的人生观和价值观。</w:t>
      </w:r>
    </w:p>
    <w:p>
      <w:pPr>
        <w:spacing w:line="600" w:lineRule="exact"/>
        <w:ind w:firstLine="562" w:firstLineChars="200"/>
        <w:rPr>
          <w:rFonts w:ascii="Times New Roman" w:hAnsi="Times New Roman" w:eastAsia="仿宋_GB2312"/>
          <w:sz w:val="28"/>
          <w:szCs w:val="28"/>
        </w:rPr>
      </w:pPr>
      <w:r>
        <w:rPr>
          <w:rFonts w:hint="eastAsia" w:ascii="Times New Roman" w:hAnsi="Times New Roman" w:eastAsia="仿宋_GB2312"/>
          <w:b/>
          <w:bCs/>
          <w:sz w:val="28"/>
          <w:szCs w:val="28"/>
        </w:rPr>
        <w:t>学习要求</w:t>
      </w:r>
      <w:r>
        <w:rPr>
          <w:rFonts w:hint="eastAsia" w:ascii="Times New Roman" w:hAnsi="Times New Roman" w:eastAsia="仿宋_GB2312"/>
          <w:sz w:val="28"/>
          <w:szCs w:val="28"/>
        </w:rPr>
        <w:t>：</w:t>
      </w:r>
      <w:r>
        <w:rPr>
          <w:rFonts w:ascii="Times New Roman" w:hAnsi="Times New Roman" w:eastAsia="仿宋_GB2312"/>
          <w:sz w:val="28"/>
          <w:szCs w:val="28"/>
        </w:rPr>
        <w:t>通过在线视频学习与讲义PPT的学习，完成章节测验和期末课程作业，构成课程学习成绩。学习过程中的困惑和问题通过课程QQ群进行交流、研讨和答疑。</w:t>
      </w:r>
    </w:p>
    <w:p>
      <w:pPr>
        <w:adjustRightInd w:val="0"/>
        <w:snapToGrid w:val="0"/>
        <w:spacing w:line="600" w:lineRule="exact"/>
        <w:ind w:firstLine="562"/>
        <w:jc w:val="left"/>
        <w:rPr>
          <w:rFonts w:ascii="Times New Roman" w:hAnsi="Times New Roman" w:eastAsia="仿宋_GB2312"/>
          <w:sz w:val="28"/>
          <w:szCs w:val="28"/>
        </w:rPr>
      </w:pPr>
    </w:p>
    <w:p>
      <w:pPr>
        <w:numPr>
          <w:ilvl w:val="0"/>
          <w:numId w:val="0"/>
        </w:numPr>
        <w:adjustRightInd w:val="0"/>
        <w:snapToGrid w:val="0"/>
        <w:spacing w:line="600" w:lineRule="exact"/>
        <w:jc w:val="left"/>
        <w:rPr>
          <w:rFonts w:hint="eastAsia" w:ascii="Times New Roman" w:hAnsi="Times New Roman" w:eastAsia="黑体"/>
          <w:b/>
          <w:sz w:val="28"/>
          <w:szCs w:val="28"/>
          <w:lang w:eastAsia="zh-CN"/>
        </w:rPr>
      </w:pPr>
      <w:bookmarkStart w:id="1" w:name="OLE_LINK6"/>
      <w:r>
        <w:rPr>
          <w:rFonts w:hint="eastAsia" w:ascii="Times New Roman" w:hAnsi="Times New Roman" w:eastAsia="黑体"/>
          <w:b/>
          <w:sz w:val="28"/>
          <w:szCs w:val="28"/>
          <w:lang w:val="en-US" w:eastAsia="zh-CN"/>
        </w:rPr>
        <w:t>5.</w:t>
      </w:r>
      <w:r>
        <w:rPr>
          <w:rFonts w:hint="eastAsia" w:ascii="Times New Roman" w:hAnsi="Times New Roman" w:eastAsia="黑体"/>
          <w:b/>
          <w:sz w:val="28"/>
          <w:szCs w:val="28"/>
        </w:rPr>
        <w:t>中国传统手工艺与文化创意设计（Chinese Traditional Handicrafts and Cultural Creative Design）</w:t>
      </w:r>
      <w:r>
        <w:rPr>
          <w:rFonts w:hint="eastAsia" w:ascii="Times New Roman" w:hAnsi="Times New Roman" w:eastAsia="黑体"/>
          <w:b/>
          <w:sz w:val="28"/>
          <w:szCs w:val="28"/>
          <w:lang w:eastAsia="zh-CN"/>
        </w:rPr>
        <w:t>（矿大）</w:t>
      </w:r>
    </w:p>
    <w:p>
      <w:pPr>
        <w:adjustRightInd w:val="0"/>
        <w:snapToGrid w:val="0"/>
        <w:spacing w:line="600" w:lineRule="exact"/>
        <w:ind w:firstLine="562" w:firstLineChars="200"/>
        <w:jc w:val="left"/>
        <w:rPr>
          <w:rFonts w:ascii="Times New Roman" w:hAnsi="Times New Roman" w:eastAsia="仿宋_GB2312"/>
          <w:bCs/>
          <w:sz w:val="28"/>
          <w:szCs w:val="28"/>
        </w:rPr>
      </w:pPr>
      <w:r>
        <w:rPr>
          <w:rFonts w:ascii="Times New Roman" w:hAnsi="Times New Roman" w:eastAsia="仿宋_GB2312"/>
          <w:b/>
          <w:sz w:val="28"/>
          <w:szCs w:val="28"/>
        </w:rPr>
        <w:t>课程简介</w:t>
      </w:r>
      <w:r>
        <w:rPr>
          <w:rFonts w:ascii="Times New Roman" w:hAnsi="Times New Roman" w:eastAsia="仿宋_GB2312"/>
          <w:bCs/>
          <w:sz w:val="28"/>
          <w:szCs w:val="28"/>
        </w:rPr>
        <w:t>：</w:t>
      </w:r>
      <w:r>
        <w:rPr>
          <w:rFonts w:hint="eastAsia" w:ascii="Times New Roman" w:hAnsi="Times New Roman" w:eastAsia="仿宋_GB2312"/>
          <w:sz w:val="28"/>
          <w:szCs w:val="28"/>
        </w:rPr>
        <w:t>针对新形势、新任务、新挑战，课程以高校立德树人和培育德智体美劳全面发展人才的基本任务为总领，挖掘中国传统手工艺中蕴含的思想政治教育元素与文化德育基因，依托综合类高校的学科优势和地方非遗资源优势，立足美育劳育新视角，培养引领新时代中国传统工艺创新性传承、发展、推广的高素质人才。适合各类专业的本科生、研究生、非遗传人和管理者学习。</w:t>
      </w:r>
    </w:p>
    <w:p>
      <w:pPr>
        <w:adjustRightInd w:val="0"/>
        <w:snapToGrid w:val="0"/>
        <w:spacing w:line="60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通过复合教学师资团队、线上线下一体化教育的模式，把非遗资源引入教育教学和创意创新环节，让学生“知非遗”，拓展学生的历史文化知识、提升艺术审美素养；在学习的过程中提升学生的历史思维、创新思维、创业思维，在“爱非遗”中提升对劳动创造美好生活的认知；拓展课堂训练学生发现并解决非遗传承中存在问题的综合业务能力，在“创非遗”中提升以专业技能和知识服务社会的能力。</w:t>
      </w:r>
    </w:p>
    <w:p>
      <w:pPr>
        <w:adjustRightInd w:val="0"/>
        <w:snapToGrid w:val="0"/>
        <w:spacing w:line="60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本课程相关电子资源已在中国大学mooc</w:t>
      </w:r>
      <w:r>
        <w:rPr>
          <w:rFonts w:hint="eastAsia" w:ascii="Times New Roman" w:hAnsi="Times New Roman" w:eastAsia="仿宋_GB2312"/>
          <w:color w:val="000000" w:themeColor="text1"/>
          <w:sz w:val="28"/>
          <w:szCs w:val="28"/>
          <w14:textFill>
            <w14:solidFill>
              <w14:schemeClr w14:val="tx1"/>
            </w14:solidFill>
          </w14:textFill>
        </w:rPr>
        <w:t>上线9轮</w:t>
      </w:r>
      <w:r>
        <w:rPr>
          <w:rFonts w:hint="eastAsia" w:ascii="Times New Roman" w:hAnsi="Times New Roman" w:eastAsia="仿宋_GB2312"/>
          <w:sz w:val="28"/>
          <w:szCs w:val="28"/>
        </w:rPr>
        <w:t>，被江苏省电视台江苏广电总台教育频道采访录制“大学趣课”，该课程微课被学习强国两次录用，已获得江苏省一流线上课程。自2019年12月上线开放，截至202</w:t>
      </w:r>
      <w:r>
        <w:rPr>
          <w:rFonts w:ascii="Times New Roman" w:hAnsi="Times New Roman" w:eastAsia="仿宋_GB2312"/>
          <w:sz w:val="28"/>
          <w:szCs w:val="28"/>
        </w:rPr>
        <w:t>4</w:t>
      </w:r>
      <w:r>
        <w:rPr>
          <w:rFonts w:hint="eastAsia" w:ascii="Times New Roman" w:hAnsi="Times New Roman" w:eastAsia="仿宋_GB2312"/>
          <w:sz w:val="28"/>
          <w:szCs w:val="28"/>
        </w:rPr>
        <w:t>年6月已经完整完成</w:t>
      </w:r>
      <w:r>
        <w:rPr>
          <w:rFonts w:ascii="Times New Roman" w:hAnsi="Times New Roman" w:eastAsia="仿宋_GB2312"/>
          <w:sz w:val="28"/>
          <w:szCs w:val="28"/>
        </w:rPr>
        <w:t>9</w:t>
      </w:r>
      <w:r>
        <w:rPr>
          <w:rFonts w:hint="eastAsia" w:ascii="Times New Roman" w:hAnsi="Times New Roman" w:eastAsia="仿宋_GB2312"/>
          <w:sz w:val="28"/>
          <w:szCs w:val="28"/>
        </w:rPr>
        <w:t>期，共计数万人选课学习。除了本校学生，另有1</w:t>
      </w:r>
      <w:r>
        <w:rPr>
          <w:rFonts w:ascii="Times New Roman" w:hAnsi="Times New Roman" w:eastAsia="仿宋_GB2312"/>
          <w:sz w:val="28"/>
          <w:szCs w:val="28"/>
        </w:rPr>
        <w:t>3</w:t>
      </w:r>
      <w:r>
        <w:rPr>
          <w:rFonts w:hint="eastAsia" w:ascii="Times New Roman" w:hAnsi="Times New Roman" w:eastAsia="仿宋_GB2312"/>
          <w:sz w:val="28"/>
          <w:szCs w:val="28"/>
        </w:rPr>
        <w:t>所国内高校学生和社会学习者使用。线下延伸课堂教学效果取得显著成效，学生社团的《匠·新拾遗》项目获第十二届“挑战杯”国赛银奖。</w:t>
      </w:r>
    </w:p>
    <w:p>
      <w:pPr>
        <w:adjustRightInd w:val="0"/>
        <w:snapToGrid w:val="0"/>
        <w:spacing w:line="600" w:lineRule="exact"/>
        <w:ind w:firstLine="562" w:firstLineChars="200"/>
        <w:jc w:val="left"/>
        <w:rPr>
          <w:rFonts w:ascii="Times New Roman" w:hAnsi="Times New Roman" w:eastAsia="仿宋_GB2312"/>
          <w:sz w:val="28"/>
          <w:szCs w:val="28"/>
        </w:rPr>
      </w:pPr>
      <w:r>
        <w:rPr>
          <w:rFonts w:hint="eastAsia" w:ascii="Times New Roman" w:hAnsi="Times New Roman" w:eastAsia="仿宋_GB2312"/>
          <w:b/>
          <w:bCs/>
          <w:sz w:val="28"/>
          <w:szCs w:val="28"/>
        </w:rPr>
        <w:t>学习要求</w:t>
      </w:r>
      <w:r>
        <w:rPr>
          <w:rFonts w:hint="eastAsia" w:ascii="Times New Roman" w:hAnsi="Times New Roman" w:eastAsia="仿宋_GB2312"/>
          <w:sz w:val="28"/>
          <w:szCs w:val="28"/>
        </w:rPr>
        <w:t>：</w:t>
      </w:r>
    </w:p>
    <w:p>
      <w:pPr>
        <w:adjustRightInd w:val="0"/>
        <w:snapToGrid w:val="0"/>
        <w:spacing w:line="6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（1）通知要求：联盟学生每个学期开课之前进入QQ群，所有通知都会在群内进行-</w:t>
      </w:r>
    </w:p>
    <w:p>
      <w:pPr>
        <w:adjustRightInd w:val="0"/>
        <w:snapToGrid w:val="0"/>
        <w:spacing w:line="6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（2）线上学习要求：</w:t>
      </w:r>
      <w:r>
        <w:rPr>
          <w:rFonts w:ascii="Times New Roman" w:hAnsi="Times New Roman" w:eastAsia="仿宋_GB2312"/>
          <w:color w:val="000000" w:themeColor="text1"/>
          <w:sz w:val="28"/>
          <w:szCs w:val="28"/>
          <w14:textFill>
            <w14:solidFill>
              <w14:schemeClr w14:val="tx1"/>
            </w14:solidFill>
          </w14:textFill>
        </w:rPr>
        <w:t>课程开通</w:t>
      </w:r>
      <w:r>
        <w:rPr>
          <w:rFonts w:hint="eastAsia" w:ascii="Times New Roman" w:hAnsi="Times New Roman" w:eastAsia="仿宋_GB2312"/>
          <w:color w:val="000000" w:themeColor="text1"/>
          <w:sz w:val="28"/>
          <w:szCs w:val="28"/>
          <w14:textFill>
            <w14:solidFill>
              <w14:schemeClr w14:val="tx1"/>
            </w14:solidFill>
          </w14:textFill>
        </w:rPr>
        <w:t>超星平台（</w:t>
      </w:r>
      <w:r>
        <w:rPr>
          <w:rFonts w:ascii="Times New Roman" w:hAnsi="Times New Roman" w:eastAsia="仿宋_GB2312"/>
          <w:color w:val="000000" w:themeColor="text1"/>
          <w:sz w:val="28"/>
          <w:szCs w:val="28"/>
          <w14:textFill>
            <w14:solidFill>
              <w14:schemeClr w14:val="tx1"/>
            </w14:solidFill>
          </w14:textFill>
        </w:rPr>
        <w:t>中国大学mooc</w:t>
      </w:r>
      <w:r>
        <w:rPr>
          <w:rFonts w:hint="eastAsia" w:ascii="Times New Roman" w:hAnsi="Times New Roman" w:eastAsia="仿宋_GB2312"/>
          <w:color w:val="000000" w:themeColor="text1"/>
          <w:sz w:val="28"/>
          <w:szCs w:val="28"/>
          <w14:textFill>
            <w14:solidFill>
              <w14:schemeClr w14:val="tx1"/>
            </w14:solidFill>
          </w14:textFill>
        </w:rPr>
        <w:t>同步）</w:t>
      </w:r>
      <w:r>
        <w:rPr>
          <w:rFonts w:ascii="Times New Roman" w:hAnsi="Times New Roman" w:eastAsia="仿宋_GB2312"/>
          <w:color w:val="000000" w:themeColor="text1"/>
          <w:sz w:val="28"/>
          <w:szCs w:val="28"/>
          <w14:textFill>
            <w14:solidFill>
              <w14:schemeClr w14:val="tx1"/>
            </w14:solidFill>
          </w14:textFill>
        </w:rPr>
        <w:t>线上资源，</w:t>
      </w:r>
      <w:r>
        <w:rPr>
          <w:rFonts w:ascii="Times New Roman" w:hAnsi="Times New Roman" w:eastAsia="仿宋_GB2312"/>
          <w:sz w:val="28"/>
          <w:szCs w:val="28"/>
        </w:rPr>
        <w:t>学生进入链接观看36个课程视频进行学习（每学期更新1次）----讨论区回答问题（每个视频后面的问题至少回答2个）进行分享------按照要求完成课程全部结束后会有线上考试</w:t>
      </w:r>
    </w:p>
    <w:p>
      <w:pPr>
        <w:adjustRightInd w:val="0"/>
        <w:snapToGrid w:val="0"/>
        <w:spacing w:line="6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（3）直播课要求：关注群内通知，老师每学期会有泛雅课堂直播课（根据提供的课程邀请码进课堂）------直播课结束按照要求完成课程ppt</w:t>
      </w:r>
    </w:p>
    <w:p>
      <w:pPr>
        <w:adjustRightInd w:val="0"/>
        <w:snapToGrid w:val="0"/>
        <w:spacing w:line="6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（4）线下学习要求：每次选择一个学校完成2节课的线下互动体验</w:t>
      </w:r>
    </w:p>
    <w:bookmarkEnd w:id="1"/>
    <w:p>
      <w:pPr>
        <w:numPr>
          <w:ilvl w:val="0"/>
          <w:numId w:val="0"/>
        </w:numPr>
        <w:adjustRightInd w:val="0"/>
        <w:snapToGrid w:val="0"/>
        <w:spacing w:line="600" w:lineRule="exact"/>
        <w:jc w:val="left"/>
        <w:rPr>
          <w:rFonts w:hint="eastAsia" w:ascii="Times New Roman" w:hAnsi="Times New Roman" w:eastAsia="黑体"/>
          <w:b/>
          <w:sz w:val="28"/>
          <w:szCs w:val="28"/>
          <w:lang w:val="en-US" w:eastAsia="zh-CN"/>
        </w:rPr>
      </w:pPr>
    </w:p>
    <w:p>
      <w:pPr>
        <w:numPr>
          <w:ilvl w:val="0"/>
          <w:numId w:val="0"/>
        </w:numPr>
        <w:adjustRightInd w:val="0"/>
        <w:snapToGrid w:val="0"/>
        <w:spacing w:line="600" w:lineRule="exact"/>
        <w:jc w:val="left"/>
        <w:rPr>
          <w:rFonts w:hint="eastAsia" w:ascii="Times New Roman" w:hAnsi="Times New Roman" w:eastAsia="黑体"/>
          <w:b/>
          <w:sz w:val="28"/>
          <w:szCs w:val="28"/>
          <w:lang w:eastAsia="zh-CN"/>
        </w:rPr>
      </w:pPr>
      <w:r>
        <w:rPr>
          <w:rFonts w:hint="eastAsia" w:ascii="Times New Roman" w:hAnsi="Times New Roman" w:eastAsia="黑体"/>
          <w:b/>
          <w:sz w:val="28"/>
          <w:szCs w:val="28"/>
          <w:lang w:val="en-US" w:eastAsia="zh-CN"/>
        </w:rPr>
        <w:t>6.</w:t>
      </w:r>
      <w:r>
        <w:rPr>
          <w:rFonts w:ascii="Times New Roman" w:hAnsi="Times New Roman" w:eastAsia="黑体"/>
          <w:b/>
          <w:sz w:val="28"/>
          <w:szCs w:val="28"/>
        </w:rPr>
        <w:t>武器装备概论</w:t>
      </w:r>
      <w:r>
        <w:rPr>
          <w:rFonts w:hint="eastAsia" w:ascii="Times New Roman" w:hAnsi="Times New Roman" w:eastAsia="黑体"/>
          <w:b/>
          <w:sz w:val="28"/>
          <w:szCs w:val="28"/>
        </w:rPr>
        <w:t>（Introduction to Weapon</w:t>
      </w:r>
      <w:r>
        <w:rPr>
          <w:rFonts w:ascii="Times New Roman" w:hAnsi="Times New Roman" w:eastAsia="黑体"/>
          <w:b/>
          <w:sz w:val="28"/>
          <w:szCs w:val="28"/>
        </w:rPr>
        <w:t>ry</w:t>
      </w:r>
      <w:r>
        <w:rPr>
          <w:rFonts w:hint="eastAsia" w:ascii="Times New Roman" w:hAnsi="Times New Roman" w:eastAsia="黑体"/>
          <w:b/>
          <w:sz w:val="28"/>
          <w:szCs w:val="28"/>
        </w:rPr>
        <w:t>）</w:t>
      </w:r>
      <w:r>
        <w:rPr>
          <w:rFonts w:hint="eastAsia" w:ascii="Times New Roman" w:hAnsi="Times New Roman" w:eastAsia="黑体"/>
          <w:b/>
          <w:sz w:val="28"/>
          <w:szCs w:val="28"/>
          <w:lang w:eastAsia="zh-CN"/>
        </w:rPr>
        <w:t>（南理工）</w:t>
      </w:r>
    </w:p>
    <w:p>
      <w:pPr>
        <w:adjustRightInd w:val="0"/>
        <w:snapToGrid w:val="0"/>
        <w:spacing w:line="600" w:lineRule="exact"/>
        <w:ind w:firstLine="562" w:firstLineChars="200"/>
        <w:jc w:val="left"/>
        <w:rPr>
          <w:rFonts w:ascii="Times New Roman" w:hAnsi="Times New Roman" w:eastAsia="仿宋_GB2312"/>
          <w:sz w:val="28"/>
          <w:szCs w:val="28"/>
        </w:rPr>
      </w:pPr>
      <w:r>
        <w:rPr>
          <w:rFonts w:hint="eastAsia" w:ascii="Times New Roman" w:hAnsi="Times New Roman" w:eastAsia="仿宋_GB2312"/>
          <w:b/>
          <w:bCs/>
          <w:sz w:val="28"/>
          <w:szCs w:val="28"/>
        </w:rPr>
        <w:t>课程简介</w:t>
      </w:r>
      <w:r>
        <w:rPr>
          <w:rFonts w:hint="eastAsia" w:ascii="Times New Roman" w:hAnsi="Times New Roman" w:eastAsia="仿宋_GB2312"/>
          <w:sz w:val="28"/>
          <w:szCs w:val="28"/>
        </w:rPr>
        <w:t>：武器装备概论是一门具有国防特色的通识教育选修课，主要面向在校大学生以及社会公众中的武器装备发烧友和军迷。全面介绍陆、海、空、天立体空间各种作战模式下的武器装备，包括陆、海、空、火箭军主战武器装备，无人作战平台，新概念武器，以及太空战、信息战的基本概念和武器的发展趋势等，普及武器装备知识、提高国防素质和国家安全意识，培养大学生科技报国、献身国防事业的责任感和使命感。</w:t>
      </w:r>
    </w:p>
    <w:p>
      <w:pPr>
        <w:adjustRightInd w:val="0"/>
        <w:snapToGrid w:val="0"/>
        <w:spacing w:line="600" w:lineRule="exact"/>
        <w:ind w:firstLine="562" w:firstLineChars="200"/>
        <w:jc w:val="left"/>
      </w:pPr>
      <w:r>
        <w:rPr>
          <w:rFonts w:hint="eastAsia" w:ascii="Times New Roman" w:hAnsi="Times New Roman" w:eastAsia="仿宋_GB2312"/>
          <w:b/>
          <w:bCs/>
          <w:sz w:val="28"/>
          <w:szCs w:val="28"/>
        </w:rPr>
        <w:t>学习要求</w:t>
      </w:r>
      <w:r>
        <w:rPr>
          <w:rFonts w:hint="eastAsia" w:ascii="Times New Roman" w:hAnsi="Times New Roman" w:eastAsia="仿宋_GB2312"/>
          <w:sz w:val="28"/>
          <w:szCs w:val="28"/>
        </w:rPr>
        <w:t>：</w:t>
      </w:r>
      <w:r>
        <w:rPr>
          <w:rFonts w:ascii="Times New Roman" w:hAnsi="Times New Roman" w:eastAsia="仿宋_GB2312"/>
          <w:sz w:val="28"/>
          <w:szCs w:val="28"/>
        </w:rPr>
        <w:t>认真听课、积极参加课程讨论</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zOGJmMTA4ZGEwNWUyZjkzODA3YjYyNDMxNDNkYjQifQ=="/>
  </w:docVars>
  <w:rsids>
    <w:rsidRoot w:val="366B766C"/>
    <w:rsid w:val="15EB4733"/>
    <w:rsid w:val="17171557"/>
    <w:rsid w:val="1FE53362"/>
    <w:rsid w:val="22AE0FC2"/>
    <w:rsid w:val="366B766C"/>
    <w:rsid w:val="40DE6ABE"/>
    <w:rsid w:val="454B049A"/>
    <w:rsid w:val="482F5E51"/>
    <w:rsid w:val="52AB07CA"/>
    <w:rsid w:val="71AF5789"/>
    <w:rsid w:val="75AE4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2025-02-26T02:34:00Z</dcterms:created>
  <dc:creator>潘天卉</dc:creator>
  <cp:lastModifiedBy>叶蓓</cp:lastModifiedBy>
  <dcterms:modified xsi:type="dcterms:W3CDTF">2025-10-09T06:11:57Z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A7354960D16345B6BEDD48ABEE1E1BC1_11</vt:lpwstr>
  </property>
</Properties>
</file>